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rPr>
          <w:rFonts w:ascii="微软雅黑" w:hAnsi="微软雅黑" w:eastAsia="微软雅黑" w:cs="微软雅黑"/>
          <w:i w:val="0"/>
          <w:caps w:val="0"/>
          <w:color w:val="333333"/>
          <w:spacing w:val="5"/>
          <w:sz w:val="22"/>
          <w:szCs w:val="22"/>
        </w:rPr>
      </w:pPr>
      <w:bookmarkStart w:id="0" w:name="_GoBack"/>
      <w:r>
        <w:rPr>
          <w:rFonts w:hint="eastAsia" w:ascii="微软雅黑" w:hAnsi="微软雅黑" w:eastAsia="微软雅黑" w:cs="微软雅黑"/>
          <w:i w:val="0"/>
          <w:caps w:val="0"/>
          <w:color w:val="333333"/>
          <w:spacing w:val="5"/>
          <w:sz w:val="22"/>
          <w:szCs w:val="22"/>
          <w:bdr w:val="none" w:color="auto" w:sz="0" w:space="0"/>
          <w:shd w:val="clear" w:fill="FFFFFF"/>
        </w:rPr>
        <w:t>农业农村部办公厅关于推介第二批全国“全程机械化+综合农事”服务中心典型案</w:t>
      </w:r>
      <w:bookmarkEnd w:id="0"/>
      <w:r>
        <w:rPr>
          <w:rFonts w:hint="eastAsia" w:ascii="微软雅黑" w:hAnsi="微软雅黑" w:eastAsia="微软雅黑" w:cs="微软雅黑"/>
          <w:i w:val="0"/>
          <w:caps w:val="0"/>
          <w:color w:val="333333"/>
          <w:spacing w:val="5"/>
          <w:sz w:val="22"/>
          <w:szCs w:val="22"/>
          <w:bdr w:val="none" w:color="auto" w:sz="0" w:space="0"/>
          <w:shd w:val="clear" w:fill="FFFFFF"/>
        </w:rPr>
        <w:t>例的通知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0" w:afterAutospacing="0" w:line="200" w:lineRule="atLeast"/>
        <w:ind w:left="0" w:right="0" w:firstLine="0"/>
        <w:jc w:val="left"/>
        <w:rPr>
          <w:rFonts w:hint="eastAsia" w:ascii="微软雅黑" w:hAnsi="微软雅黑" w:eastAsia="微软雅黑" w:cs="微软雅黑"/>
          <w:i w:val="0"/>
          <w:caps w:val="0"/>
          <w:color w:val="333333"/>
          <w:spacing w:val="5"/>
          <w:sz w:val="0"/>
          <w:szCs w:val="0"/>
        </w:rPr>
      </w:pPr>
      <w:r>
        <w:rPr>
          <w:rFonts w:hint="eastAsia" w:ascii="微软雅黑" w:hAnsi="微软雅黑" w:eastAsia="微软雅黑" w:cs="微软雅黑"/>
          <w:i w:val="0"/>
          <w:caps w:val="0"/>
          <w:color w:val="333333"/>
          <w:spacing w:val="5"/>
          <w:kern w:val="0"/>
          <w:sz w:val="15"/>
          <w:szCs w:val="15"/>
          <w:bdr w:val="none" w:color="auto" w:sz="0" w:space="0"/>
          <w:shd w:val="clear" w:fill="FFFFFF"/>
          <w:lang w:val="en-US" w:eastAsia="zh-CN" w:bidi="ar"/>
        </w:rPr>
        <w:t>农业农村部办公厅</w:t>
      </w:r>
      <w:r>
        <w:rPr>
          <w:rFonts w:hint="eastAsia" w:ascii="微软雅黑" w:hAnsi="微软雅黑" w:eastAsia="微软雅黑" w:cs="微软雅黑"/>
          <w:i w:val="0"/>
          <w:caps w:val="0"/>
          <w:color w:val="333333"/>
          <w:spacing w:val="5"/>
          <w:kern w:val="0"/>
          <w:sz w:val="0"/>
          <w:szCs w:val="0"/>
          <w:bdr w:val="none" w:color="auto" w:sz="0" w:space="0"/>
          <w:shd w:val="clear" w:fill="FFFFFF"/>
          <w:lang w:val="en-US" w:eastAsia="zh-CN" w:bidi="ar"/>
        </w:rPr>
        <w:t> </w:t>
      </w:r>
      <w:r>
        <w:rPr>
          <w:rFonts w:hint="eastAsia" w:ascii="微软雅黑" w:hAnsi="微软雅黑" w:eastAsia="微软雅黑" w:cs="微软雅黑"/>
          <w:i w:val="0"/>
          <w:caps w:val="0"/>
          <w:color w:val="576B95"/>
          <w:spacing w:val="5"/>
          <w:kern w:val="0"/>
          <w:sz w:val="15"/>
          <w:szCs w:val="15"/>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76B95"/>
          <w:spacing w:val="5"/>
          <w:kern w:val="0"/>
          <w:sz w:val="15"/>
          <w:szCs w:val="15"/>
          <w:u w:val="none"/>
          <w:bdr w:val="none" w:color="auto" w:sz="0" w:space="0"/>
          <w:shd w:val="clear" w:fill="FFFFFF"/>
          <w:lang w:val="en-US" w:eastAsia="zh-CN" w:bidi="ar"/>
        </w:rPr>
        <w:instrText xml:space="preserve"> HYPERLINK "https://mp.weixin.qq.com/s/javascript:void(0);" </w:instrText>
      </w:r>
      <w:r>
        <w:rPr>
          <w:rFonts w:hint="eastAsia" w:ascii="微软雅黑" w:hAnsi="微软雅黑" w:eastAsia="微软雅黑" w:cs="微软雅黑"/>
          <w:i w:val="0"/>
          <w:caps w:val="0"/>
          <w:color w:val="576B95"/>
          <w:spacing w:val="5"/>
          <w:kern w:val="0"/>
          <w:sz w:val="15"/>
          <w:szCs w:val="15"/>
          <w:u w:val="none"/>
          <w:bdr w:val="none" w:color="auto" w:sz="0" w:space="0"/>
          <w:shd w:val="clear" w:fill="FFFFFF"/>
          <w:lang w:val="en-US" w:eastAsia="zh-CN" w:bidi="ar"/>
        </w:rPr>
        <w:fldChar w:fldCharType="separate"/>
      </w:r>
      <w:r>
        <w:rPr>
          <w:rStyle w:val="8"/>
          <w:rFonts w:hint="eastAsia" w:ascii="微软雅黑" w:hAnsi="微软雅黑" w:eastAsia="微软雅黑" w:cs="微软雅黑"/>
          <w:i w:val="0"/>
          <w:caps w:val="0"/>
          <w:color w:val="576B95"/>
          <w:spacing w:val="5"/>
          <w:sz w:val="15"/>
          <w:szCs w:val="15"/>
          <w:u w:val="none"/>
          <w:bdr w:val="none" w:color="auto" w:sz="0" w:space="0"/>
          <w:shd w:val="clear" w:fill="FFFFFF"/>
        </w:rPr>
        <w:t>农村土地和乡村振兴</w:t>
      </w:r>
      <w:r>
        <w:rPr>
          <w:rFonts w:hint="eastAsia" w:ascii="微软雅黑" w:hAnsi="微软雅黑" w:eastAsia="微软雅黑" w:cs="微软雅黑"/>
          <w:i w:val="0"/>
          <w:caps w:val="0"/>
          <w:color w:val="576B95"/>
          <w:spacing w:val="5"/>
          <w:kern w:val="0"/>
          <w:sz w:val="15"/>
          <w:szCs w:val="15"/>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5"/>
          <w:kern w:val="0"/>
          <w:sz w:val="0"/>
          <w:szCs w:val="0"/>
          <w:bdr w:val="none" w:color="auto" w:sz="0" w:space="0"/>
          <w:shd w:val="clear" w:fill="FFFFFF"/>
          <w:lang w:val="en-US" w:eastAsia="zh-CN" w:bidi="ar"/>
        </w:rPr>
        <w:t> </w:t>
      </w:r>
      <w:r>
        <w:rPr>
          <w:rStyle w:val="7"/>
          <w:rFonts w:hint="eastAsia" w:ascii="微软雅黑" w:hAnsi="微软雅黑" w:eastAsia="微软雅黑" w:cs="微软雅黑"/>
          <w:i w:val="0"/>
          <w:caps w:val="0"/>
          <w:color w:val="333333"/>
          <w:spacing w:val="5"/>
          <w:kern w:val="0"/>
          <w:sz w:val="15"/>
          <w:szCs w:val="15"/>
          <w:bdr w:val="none" w:color="auto" w:sz="0" w:space="0"/>
          <w:shd w:val="clear" w:fill="FFFFFF"/>
          <w:lang w:val="en-US" w:eastAsia="zh-CN" w:bidi="ar"/>
        </w:rPr>
        <w:t>3天前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color w:val="BD1A2D"/>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当前，我国农业生产已进入以机械化为主导的新阶段，对农机社会化服务提出了新的更高要求。为贯彻落实《国务院关于加快推进农业机械化和农机装备产业转型升级的指导意见》（国发〔2018〕42号）有关要求，进一步推动农机服务业态创新，农业农村部在2019年首批推介70个全国“全程机械化+综合农事”服务中心典型案例的基础上，遴选确定了第二批40个典型案例，现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这批典型案例涉及的服务组织，能够充分发挥农机装备优势，创新服务模式，增强服务能力，做到了服务链条向耕种管收、产地烘干、产后加工等“一条龙”农机作业服务延伸，服务内容向农资统购、技术示范、咨询培训、产品销售对接等“一站式”综合农事服务拓展，为提升农业科技应用水平，实现农业节本增效，推动适度规模经营探索了有效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各地农业农村部门要认真学习借鉴典型案例的经验做法，加大对农机社会化服务新主体、新模式、新业态的指导支持力度，因地制宜探索形成符合本地实际的“全程机械化+综合农事”服务新方式，加快推动农机服务模式与农业适度规模经营相适应，为推进农业机械化全程全面高质高效发展、促进小农户与现代农业发展有机衔接、助力乡村振兴做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附件：第二批全国“全程机械化+综合农事”服务中心典型案例名单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caps w:val="0"/>
          <w:color w:val="333333"/>
          <w:spacing w:val="5"/>
          <w:sz w:val="17"/>
          <w:szCs w:val="17"/>
          <w:bdr w:val="none" w:color="auto" w:sz="0" w:space="0"/>
          <w:shd w:val="clear" w:fill="FFFFFF"/>
        </w:rPr>
        <w:t>农业农村部办公厅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caps w:val="0"/>
          <w:color w:val="333333"/>
          <w:spacing w:val="5"/>
          <w:sz w:val="17"/>
          <w:szCs w:val="17"/>
          <w:bdr w:val="none" w:color="auto" w:sz="0" w:space="0"/>
          <w:shd w:val="clear" w:fill="FFFFFF"/>
        </w:rPr>
        <w:t>2020年12月31日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ascii="黑体" w:hAnsi="宋体" w:eastAsia="黑体" w:cs="黑体"/>
          <w:i w:val="0"/>
          <w:caps w:val="0"/>
          <w:color w:val="333333"/>
          <w:spacing w:val="5"/>
          <w:sz w:val="17"/>
          <w:szCs w:val="17"/>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333333"/>
          <w:spacing w:val="5"/>
          <w:sz w:val="30"/>
          <w:szCs w:val="30"/>
          <w:bdr w:val="none" w:color="auto" w:sz="0" w:space="0"/>
          <w:shd w:val="clear" w:fill="FFFFFF"/>
        </w:rPr>
        <w:t>第二批全国“全程机械化+综合农事”服务中心典型案例名单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 北京市怀柔区福源广农机服务专业合作社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延伸农机服务　践行绿色发展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 天津市蓟州区六道街农机专业合作社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强化管理诚信经营　打造农机服务品牌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 天津市武清区雨成农机专业合作社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立足农机化　撑起秸秆综合利用一片天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4. 河北省衡水市拓田农机专业合作社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推进全程机械化　打造优质小麦基地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5. 河北省赵县光辉农业机械服务专业合作社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机械化信息化融合　引领现代农业发展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6. 内蒙古乌拉特后旗新农兴农机专业合作社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推行农机化托管　助推农业高质量发展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7. 内蒙古莫旗华兴农机服务专业合作社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提升服务能力　高质量推进全程机械化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8. 内蒙古科右前旗新生农业机械专业合作社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创新管理机制　焕发规模化种植新生机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9. 吉林省梨树县卢伟农机农民专业合作社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全程服务促发展　规模经营助增收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10.吉林省榆树市增益农业机械种植专业合作社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依托全程机械化　谱写订单农业新篇章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11.黑龙江省逊克县丰禾现代农机专业合作社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机械化引领规模经营　综合服务助力产业提升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12.上海市崇明区百农农业科技发展股份有限公司</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树立社会化服务品牌　引领农机化转型升级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13.江苏省常州市溧阳市海斌农机专业合作社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挑起农机化“金扁担”　助力乡村产业融合发展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14.江苏省宜兴市金兰农业服务专业合作社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依托全程机械化　拓展产业树品牌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15.江苏省南京市六合区立友农机服务专业合作社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创建“双全”模式　打造农机服务新品牌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16.浙江省嵊州市三界永明农机专业合作社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创新共享模式　拓展农机社会化服务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17.安徽省凤台县禾谷香农机专业合作社联合社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抱团发展成立联合社　多管齐下提升机械化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18.福建省尤溪县龙洋农机专业合作社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Fonts w:hint="eastAsia" w:ascii="微软雅黑" w:hAnsi="微软雅黑" w:eastAsia="微软雅黑" w:cs="微软雅黑"/>
          <w:i w:val="0"/>
          <w:caps w:val="0"/>
          <w:color w:val="333333"/>
          <w:spacing w:val="5"/>
          <w:sz w:val="17"/>
          <w:szCs w:val="17"/>
          <w:bdr w:val="none" w:color="auto" w:sz="0" w:space="0"/>
          <w:shd w:val="clear" w:fill="FFFFFF"/>
        </w:rPr>
        <w:t>　　　　</w:t>
      </w:r>
      <w:r>
        <w:rPr>
          <w:rStyle w:val="6"/>
          <w:rFonts w:hint="eastAsia" w:ascii="微软雅黑" w:hAnsi="微软雅黑" w:eastAsia="微软雅黑" w:cs="微软雅黑"/>
          <w:i w:val="0"/>
          <w:caps w:val="0"/>
          <w:color w:val="333333"/>
          <w:spacing w:val="5"/>
          <w:sz w:val="17"/>
          <w:szCs w:val="17"/>
          <w:bdr w:val="none" w:color="auto" w:sz="0" w:space="0"/>
          <w:shd w:val="clear" w:fill="FFFFFF"/>
        </w:rPr>
        <w:t>加大投入提升服务能力　拓展经营增加经济效益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19.山东省肥城市地龙农机合作社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集体领办多方共赢　全程服务振兴乡村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20.山东省利津县春喜农机农民合作社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敢为人先勇创新　全程服务促发展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21.山东省金乡县玛丽亚大蒜农机专业合作社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谱写大蒜生产全程机械化新篇章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22.河南省舞阳县东红农机合作社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迎难而上勇于实践　闯出合作共赢新路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23.河南省清丰县惠农农机农民专业合作社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发展综合农事服务　助力现代农业发展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24.湖北省洪湖市聚丰农机专业合作社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聚焦全程机械化　打造优质水稻基地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25.湖北省黄冈市黄州区金明农业机械服务专业合作社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模块化管理　打造全产业链服务体系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26.湖北省荆门市掇刀区恒创农机服务专业合作社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整合优势资源　实现抱团发展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27.湖南省常德市锦绣千村农机专业合作社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构建现代服务体系　打造终端强势品牌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28.湖南省岳阳县丰瑞农机专业合作社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立足产业扶贫　科技引领发展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29.广东省恩平市恩洲丰穗农业专业合作社联合社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助力优势产业　成就服务品牌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30.广东省韶关市曲江区胜意农机专业合作社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规范发展实力强　金字招牌成效大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31.广西柳城县冲脉镇优丰农机专业合作社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创新“四联管”模式　推进甘蔗全程机械化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32.四川省广元市朝天区英明农机专业合作社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服务高山农业　打造现代品牌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33.云南省腾冲市胜利农机专业合作社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“田保姆”蹚出全程全面机械化发展路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34.陕西省渭南市临渭区绿盛现代农机专业合作社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探索“公司+合作社+农户”模式　打造利益共同体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35.青海省湟中县鲍丰农机服务专业合作社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推进全程机械化发展　创建品牌延伸价值链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36.宁夏青铜峡市金土地农机作业服务有限公司</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顺势而为谋拓展　依托农机谱新篇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37.宁夏吴忠市立军农机作业服务有限公司</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土地托管“托出”农机化发展新天地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38.宁波市海曙区粮人粮机专业合作社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数字农业创新赋能　综合农事探索新机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39.青岛市莱西市俊利昌盛农机专业合作社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立足农机拓展服务　助力乡村产业振兴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　　40.青岛市即墨区浩硕农机专业合作社</w:t>
      </w:r>
      <w:r>
        <w:rPr>
          <w:rFonts w:hint="eastAsia" w:ascii="微软雅黑" w:hAnsi="微软雅黑" w:eastAsia="微软雅黑" w:cs="微软雅黑"/>
          <w:i w:val="0"/>
          <w:caps w:val="0"/>
          <w:color w:val="333333"/>
          <w:spacing w:val="5"/>
          <w:sz w:val="17"/>
          <w:szCs w:val="17"/>
          <w:bdr w:val="none" w:color="auto" w:sz="0" w:space="0"/>
          <w:shd w:val="clear" w:fill="FFFFFF"/>
        </w:rPr>
        <w:br w:type="textWrapping"/>
      </w:r>
      <w:r>
        <w:rPr>
          <w:rStyle w:val="6"/>
          <w:rFonts w:hint="eastAsia" w:ascii="微软雅黑" w:hAnsi="微软雅黑" w:eastAsia="微软雅黑" w:cs="微软雅黑"/>
          <w:i w:val="0"/>
          <w:caps w:val="0"/>
          <w:color w:val="333333"/>
          <w:spacing w:val="5"/>
          <w:sz w:val="17"/>
          <w:szCs w:val="17"/>
          <w:bdr w:val="none" w:color="auto" w:sz="0" w:space="0"/>
          <w:shd w:val="clear" w:fill="FFFFFF"/>
        </w:rPr>
        <w:t>　　　　创新“村社共建”模式　推进土地规模化经营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5"/>
          <w:sz w:val="17"/>
          <w:szCs w:val="17"/>
          <w:bdr w:val="none" w:color="auto" w:sz="0" w:space="0"/>
          <w:shd w:val="clear" w:fill="FFFFFF"/>
        </w:rPr>
        <w:t>来源：农业农村部网2021-1-8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45B72"/>
    <w:rsid w:val="1CB4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2021-01-11T00:59:00Z</dcterms:created>
  <dc:creator>罗阿力</dc:creator>
  <cp:lastModifiedBy>罗阿力</cp:lastModifiedBy>
  <dcterms:modified xsi:type="dcterms:W3CDTF">2021-01-11T01:00:13Z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