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eastAsia" w:ascii="黑体" w:hAnsi="黑体" w:eastAsia="黑体" w:cs="黑体"/>
          <w:kern w:val="0"/>
          <w:sz w:val="32"/>
          <w:szCs w:val="32"/>
          <w:lang w:val="en-US" w:eastAsia="zh-CN" w:bidi="ar"/>
        </w:rPr>
      </w:pPr>
    </w:p>
    <w:p>
      <w:pPr>
        <w:keepNext w:val="0"/>
        <w:keepLines w:val="0"/>
        <w:widowControl/>
        <w:numPr>
          <w:ilvl w:val="0"/>
          <w:numId w:val="0"/>
        </w:numPr>
        <w:suppressLineNumbers w:val="0"/>
        <w:jc w:val="cente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水产养殖饲料投饵机械化技术</w:t>
      </w:r>
      <w:r>
        <w:rPr>
          <w:rFonts w:hint="eastAsia" w:ascii="黑体" w:hAnsi="黑体" w:eastAsia="黑体" w:cs="黑体"/>
          <w:kern w:val="0"/>
          <w:sz w:val="32"/>
          <w:szCs w:val="32"/>
          <w:lang w:val="en-US" w:eastAsia="zh-CN" w:bidi="ar"/>
        </w:rPr>
        <w:br w:type="textWrapping"/>
      </w:r>
    </w:p>
    <w:p>
      <w:pPr>
        <w:keepNext w:val="0"/>
        <w:keepLines w:val="0"/>
        <w:widowControl/>
        <w:numPr>
          <w:ilvl w:val="0"/>
          <w:numId w:val="0"/>
        </w:numPr>
        <w:suppressLineNumbers w:val="0"/>
        <w:ind w:firstLine="560" w:firstLineChars="200"/>
        <w:jc w:val="left"/>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一、技术应用意义及应用现状</w:t>
      </w:r>
      <w:r>
        <w:rPr>
          <w:rFonts w:hint="eastAsia" w:ascii="黑体" w:hAnsi="黑体" w:eastAsia="黑体" w:cs="黑体"/>
          <w:kern w:val="0"/>
          <w:sz w:val="28"/>
          <w:szCs w:val="28"/>
          <w:lang w:val="en-US" w:eastAsia="zh-CN" w:bidi="ar"/>
        </w:rPr>
        <w:br w:type="textWrapping"/>
      </w:r>
      <w:r>
        <w:rPr>
          <w:rFonts w:hint="eastAsia" w:ascii="黑体" w:hAnsi="黑体" w:eastAsia="黑体" w:cs="黑体"/>
          <w:kern w:val="0"/>
          <w:sz w:val="28"/>
          <w:szCs w:val="28"/>
          <w:lang w:val="en-US" w:eastAsia="zh-CN" w:bidi="ar"/>
        </w:rPr>
        <w:t xml:space="preserve">  （一）技术应用意义</w:t>
      </w:r>
    </w:p>
    <w:p>
      <w:pPr>
        <w:keepNext w:val="0"/>
        <w:keepLines w:val="0"/>
        <w:widowControl/>
        <w:numPr>
          <w:ilvl w:val="0"/>
          <w:numId w:val="0"/>
        </w:numPr>
        <w:suppressLineNumbers w:val="0"/>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水产养殖需每天进行投饵饲喂，传统人工投饵不仅费时费力，而且速度慢，投入不均匀，由于摄食面小、水溶度高等因素，人工投饵饲料损失率约15%～20%。因此，养殖户尤其是规模较大的养殖专业户购置自动投饵机，通过机械自动化投放，能够大量节省人力，同时减少人的活动对鱼类摄食的影响，有利于鱼类生长，有利于养殖产业规模化、集约化，可大幅提高水产养殖经济效益。</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w:t>
      </w:r>
      <w:r>
        <w:rPr>
          <w:rFonts w:hint="eastAsia" w:ascii="黑体" w:hAnsi="黑体" w:eastAsia="黑体" w:cs="黑体"/>
          <w:kern w:val="0"/>
          <w:sz w:val="28"/>
          <w:szCs w:val="28"/>
          <w:lang w:val="en-US" w:eastAsia="zh-CN" w:bidi="ar"/>
        </w:rPr>
        <w:t>（二）技术应用现状</w:t>
      </w:r>
      <w:r>
        <w:rPr>
          <w:rFonts w:hint="eastAsia" w:ascii="黑体" w:hAnsi="黑体" w:eastAsia="黑体" w:cs="黑体"/>
          <w:kern w:val="0"/>
          <w:sz w:val="28"/>
          <w:szCs w:val="28"/>
          <w:lang w:val="en-US" w:eastAsia="zh-CN" w:bidi="ar"/>
        </w:rPr>
        <w:br w:type="textWrapping"/>
      </w:r>
      <w:r>
        <w:rPr>
          <w:rFonts w:hint="eastAsia" w:ascii="黑体" w:hAnsi="黑体" w:eastAsia="黑体" w:cs="黑体"/>
          <w:kern w:val="0"/>
          <w:sz w:val="28"/>
          <w:szCs w:val="28"/>
          <w:lang w:val="en-US" w:eastAsia="zh-CN" w:bidi="ar"/>
        </w:rPr>
        <w:t xml:space="preserve">    </w:t>
      </w:r>
      <w:r>
        <w:rPr>
          <w:rFonts w:hint="eastAsia" w:ascii="仿宋" w:hAnsi="仿宋" w:eastAsia="仿宋" w:cs="仿宋"/>
          <w:kern w:val="0"/>
          <w:sz w:val="28"/>
          <w:szCs w:val="28"/>
          <w:lang w:val="en-US" w:eastAsia="zh-CN" w:bidi="ar"/>
        </w:rPr>
        <w:t>随着水产养殖业的发展，广西水产养殖饲料投饵机械化技术已广泛地应用于渔业生产，特别适用于大型综合性的高密度集约化养殖生产模式。2013年全区投饵机的数量也在不断增加，达到了1523台。</w:t>
      </w:r>
      <w:r>
        <w:rPr>
          <w:rFonts w:hint="eastAsia" w:ascii="仿宋" w:hAnsi="仿宋" w:eastAsia="仿宋" w:cs="仿宋"/>
          <w:kern w:val="0"/>
          <w:sz w:val="28"/>
          <w:szCs w:val="28"/>
          <w:lang w:val="en-US" w:eastAsia="zh-CN" w:bidi="ar"/>
        </w:rPr>
        <w:br w:type="textWrapping"/>
      </w:r>
      <w:r>
        <w:rPr>
          <w:rFonts w:hint="eastAsia" w:ascii="黑体" w:hAnsi="黑体" w:eastAsia="黑体" w:cs="黑体"/>
          <w:kern w:val="0"/>
          <w:sz w:val="28"/>
          <w:szCs w:val="28"/>
          <w:lang w:val="en-US" w:eastAsia="zh-CN" w:bidi="ar"/>
        </w:rPr>
        <w:t xml:space="preserve">    二、技术内容</w:t>
      </w:r>
      <w:r>
        <w:rPr>
          <w:rFonts w:hint="eastAsia" w:ascii="黑体" w:hAnsi="黑体" w:eastAsia="黑体" w:cs="黑体"/>
          <w:kern w:val="0"/>
          <w:sz w:val="28"/>
          <w:szCs w:val="28"/>
          <w:lang w:val="en-US" w:eastAsia="zh-CN" w:bidi="ar"/>
        </w:rPr>
        <w:br w:type="textWrapping"/>
      </w:r>
      <w:r>
        <w:rPr>
          <w:rFonts w:hint="eastAsia" w:ascii="黑体" w:hAnsi="黑体" w:eastAsia="黑体" w:cs="黑体"/>
          <w:kern w:val="0"/>
          <w:sz w:val="28"/>
          <w:szCs w:val="28"/>
          <w:lang w:val="en-US" w:eastAsia="zh-CN" w:bidi="ar"/>
        </w:rPr>
        <w:t xml:space="preserve">   （一）技术定义</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饲料投饵机械化技术是指采用饲料投饵机械适时适量向养殖池塘水面抛撒喂养饵料的作业过程。</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w:t>
      </w:r>
      <w:r>
        <w:rPr>
          <w:rFonts w:hint="eastAsia" w:ascii="黑体" w:hAnsi="黑体" w:eastAsia="黑体" w:cs="黑体"/>
          <w:kern w:val="0"/>
          <w:sz w:val="28"/>
          <w:szCs w:val="28"/>
          <w:lang w:val="en-US" w:eastAsia="zh-CN" w:bidi="ar"/>
        </w:rPr>
        <w:t>（二）作用与效果</w:t>
      </w:r>
      <w:r>
        <w:rPr>
          <w:rFonts w:hint="eastAsia" w:ascii="黑体" w:hAnsi="黑体" w:eastAsia="黑体" w:cs="黑体"/>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（1）减少饲料浪费，提高饲料报酬，降低饲料系数。</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（2）提高产量而不增加投入。</w:t>
      </w:r>
      <w:bookmarkStart w:id="0" w:name="_GoBack"/>
      <w:bookmarkEnd w:id="0"/>
    </w:p>
    <w:p>
      <w:pPr>
        <w:keepNext w:val="0"/>
        <w:keepLines w:val="0"/>
        <w:widowControl/>
        <w:numPr>
          <w:ilvl w:val="0"/>
          <w:numId w:val="1"/>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减少对水质的污染，减少水中氧气的消耗。</w:t>
      </w:r>
    </w:p>
    <w:p>
      <w:pPr>
        <w:keepNext w:val="0"/>
        <w:keepLines w:val="0"/>
        <w:widowControl/>
        <w:numPr>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（4）鱼类不致因饿食饱食而致病。</w:t>
      </w:r>
    </w:p>
    <w:p>
      <w:pPr>
        <w:keepNext w:val="0"/>
        <w:keepLines w:val="0"/>
        <w:widowControl/>
        <w:numPr>
          <w:numId w:val="0"/>
        </w:numPr>
        <w:suppressLineNumbers w:val="0"/>
        <w:ind w:firstLine="560" w:firstLineChars="200"/>
        <w:jc w:val="left"/>
        <w:rPr>
          <w:rFonts w:hint="eastAsia" w:ascii="黑体" w:hAnsi="黑体" w:eastAsia="黑体" w:cs="黑体"/>
          <w:kern w:val="0"/>
          <w:sz w:val="24"/>
          <w:szCs w:val="24"/>
          <w:lang w:val="en-US" w:eastAsia="zh-CN" w:bidi="ar"/>
        </w:rPr>
      </w:pPr>
      <w:r>
        <w:rPr>
          <w:rFonts w:hint="eastAsia" w:ascii="黑体" w:hAnsi="黑体" w:eastAsia="黑体" w:cs="黑体"/>
          <w:kern w:val="0"/>
          <w:sz w:val="28"/>
          <w:szCs w:val="28"/>
          <w:lang w:val="en-US" w:eastAsia="zh-CN" w:bidi="ar"/>
        </w:rPr>
        <w:t>三、技术规范</w:t>
      </w:r>
      <w:r>
        <w:rPr>
          <w:rFonts w:hint="eastAsia" w:ascii="黑体" w:hAnsi="黑体" w:eastAsia="黑体" w:cs="黑体"/>
          <w:kern w:val="0"/>
          <w:sz w:val="28"/>
          <w:szCs w:val="28"/>
          <w:lang w:val="en-US" w:eastAsia="zh-CN" w:bidi="ar"/>
        </w:rPr>
        <w:br w:type="textWrapping"/>
      </w:r>
      <w:r>
        <w:rPr>
          <w:rFonts w:hint="eastAsia" w:ascii="黑体" w:hAnsi="黑体" w:eastAsia="黑体" w:cs="黑体"/>
          <w:kern w:val="0"/>
          <w:sz w:val="28"/>
          <w:szCs w:val="28"/>
          <w:lang w:val="en-US" w:eastAsia="zh-CN" w:bidi="ar"/>
        </w:rPr>
        <w:t xml:space="preserve">    (一）技术路线</w:t>
      </w:r>
      <w:r>
        <w:rPr>
          <w:rFonts w:hint="eastAsia" w:ascii="黑体" w:hAnsi="黑体" w:eastAsia="黑体" w:cs="黑体"/>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设定投饵量及投喂次数→机械喇叭发出声响（约20秒/声）→饲料间隔反复式抛撒（投喂频率4～6次/天）。</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w:t>
      </w:r>
      <w:r>
        <w:rPr>
          <w:rFonts w:hint="eastAsia" w:ascii="黑体" w:hAnsi="黑体" w:eastAsia="黑体" w:cs="黑体"/>
          <w:kern w:val="0"/>
          <w:sz w:val="28"/>
          <w:szCs w:val="28"/>
          <w:lang w:val="en-US" w:eastAsia="zh-CN" w:bidi="ar"/>
        </w:rPr>
        <w:t>（二）主要技术指标（表）</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w:t>
      </w:r>
      <w:r>
        <w:rPr>
          <w:rFonts w:hint="eastAsia" w:ascii="仿宋" w:hAnsi="仿宋" w:eastAsia="仿宋" w:cs="仿宋"/>
          <w:kern w:val="0"/>
          <w:sz w:val="24"/>
          <w:szCs w:val="24"/>
          <w:lang w:val="en-US" w:eastAsia="zh-CN" w:bidi="ar"/>
        </w:rPr>
        <w:t>表  饲料投饵机械技术指标</w:t>
      </w:r>
    </w:p>
    <w:p>
      <w:pPr>
        <w:keepNext w:val="0"/>
        <w:keepLines w:val="0"/>
        <w:widowControl/>
        <w:numPr>
          <w:ilvl w:val="0"/>
          <w:numId w:val="0"/>
        </w:numPr>
        <w:suppressLineNumbers w:val="0"/>
        <w:ind w:leftChars="200"/>
        <w:jc w:val="left"/>
        <w:rPr>
          <w:rFonts w:hint="eastAsia" w:ascii="黑体" w:hAnsi="黑体" w:eastAsia="黑体" w:cs="黑体"/>
          <w:kern w:val="0"/>
          <w:sz w:val="24"/>
          <w:szCs w:val="24"/>
          <w:lang w:val="en-US" w:eastAsia="zh-CN" w:bidi="ar"/>
        </w:rPr>
      </w:pPr>
    </w:p>
    <w:tbl>
      <w:tblPr>
        <w:tblStyle w:val="4"/>
        <w:tblpPr w:leftFromText="180" w:rightFromText="180" w:vertAnchor="text" w:horzAnchor="page" w:tblpXSpec="center" w:tblpY="-27"/>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825"/>
        <w:gridCol w:w="109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功率</w:t>
            </w:r>
          </w:p>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lang w:val="en-US" w:eastAsia="zh-CN" w:bidi="ar"/>
              </w:rPr>
              <w:t>（瓦）</w:t>
            </w:r>
          </w:p>
        </w:tc>
        <w:tc>
          <w:tcPr>
            <w:tcW w:w="1420"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投饵距离</w:t>
            </w:r>
            <w:r>
              <w:rPr>
                <w:rFonts w:hint="eastAsia" w:ascii="仿宋" w:hAnsi="仿宋" w:eastAsia="仿宋" w:cs="仿宋"/>
                <w:kern w:val="0"/>
                <w:sz w:val="24"/>
                <w:szCs w:val="24"/>
                <w:lang w:val="en-US" w:eastAsia="zh-CN" w:bidi="ar"/>
              </w:rPr>
              <w:t>（米）</w:t>
            </w:r>
          </w:p>
        </w:tc>
        <w:tc>
          <w:tcPr>
            <w:tcW w:w="1420"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容积</w:t>
            </w:r>
          </w:p>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lang w:val="en-US" w:eastAsia="zh-CN" w:bidi="ar"/>
              </w:rPr>
              <w:t>（千克）</w:t>
            </w:r>
          </w:p>
        </w:tc>
        <w:tc>
          <w:tcPr>
            <w:tcW w:w="1825"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使用面积</w:t>
            </w:r>
          </w:p>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lang w:val="en-US" w:eastAsia="zh-CN" w:bidi="ar"/>
              </w:rPr>
              <w:t>（公顷/台）</w:t>
            </w:r>
          </w:p>
        </w:tc>
        <w:tc>
          <w:tcPr>
            <w:tcW w:w="1090"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利用率</w:t>
            </w:r>
            <w:r>
              <w:rPr>
                <w:rFonts w:hint="eastAsia" w:ascii="仿宋" w:hAnsi="仿宋" w:eastAsia="仿宋" w:cs="仿宋"/>
                <w:kern w:val="0"/>
                <w:sz w:val="24"/>
                <w:szCs w:val="24"/>
                <w:lang w:val="en-US" w:eastAsia="zh-CN" w:bidi="ar"/>
              </w:rPr>
              <w:t>（%）</w:t>
            </w:r>
          </w:p>
        </w:tc>
        <w:tc>
          <w:tcPr>
            <w:tcW w:w="1347"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吸收率</w:t>
            </w:r>
            <w:r>
              <w:rPr>
                <w:rFonts w:hint="eastAsia" w:ascii="仿宋" w:hAnsi="仿宋" w:eastAsia="仿宋" w:cs="仿宋"/>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30～100</w:t>
            </w:r>
          </w:p>
        </w:tc>
        <w:tc>
          <w:tcPr>
            <w:tcW w:w="1420"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2～18</w:t>
            </w:r>
          </w:p>
        </w:tc>
        <w:tc>
          <w:tcPr>
            <w:tcW w:w="1420"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60～120</w:t>
            </w:r>
          </w:p>
        </w:tc>
        <w:tc>
          <w:tcPr>
            <w:tcW w:w="1825"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0.33～1.33</w:t>
            </w:r>
          </w:p>
        </w:tc>
        <w:tc>
          <w:tcPr>
            <w:tcW w:w="1090"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15～20</w:t>
            </w:r>
          </w:p>
        </w:tc>
        <w:tc>
          <w:tcPr>
            <w:tcW w:w="1347" w:type="dxa"/>
            <w:vAlign w:val="center"/>
          </w:tcPr>
          <w:p>
            <w:pPr>
              <w:keepNext w:val="0"/>
              <w:keepLines w:val="0"/>
              <w:widowControl/>
              <w:numPr>
                <w:ilvl w:val="0"/>
                <w:numId w:val="0"/>
              </w:numPr>
              <w:suppressLineNumbers w:val="0"/>
              <w:jc w:val="center"/>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20～30</w:t>
            </w:r>
          </w:p>
        </w:tc>
      </w:tr>
    </w:tbl>
    <w:p>
      <w:pPr>
        <w:keepNext w:val="0"/>
        <w:keepLines w:val="0"/>
        <w:widowControl/>
        <w:numPr>
          <w:ilvl w:val="0"/>
          <w:numId w:val="0"/>
        </w:numPr>
        <w:suppressLineNumbers w:val="0"/>
        <w:ind w:firstLine="280" w:firstLineChars="100"/>
        <w:jc w:val="left"/>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（三）技术要点</w:t>
      </w:r>
    </w:p>
    <w:p>
      <w:pPr>
        <w:keepNext w:val="0"/>
        <w:keepLines w:val="0"/>
        <w:widowControl/>
        <w:numPr>
          <w:ilvl w:val="0"/>
          <w:numId w:val="0"/>
        </w:numPr>
        <w:suppressLineNumbers w:val="0"/>
        <w:ind w:left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（1）安装投饵机要选择面对鱼池的开阔面，水位深的位置，以利鱼抢食。两池并列可共用一个投饵机，底盘做成活动的，转个向即可。</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（2）调好投撒的远近距离及间隔时间。</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（3）投饵量每周确定一次较为合适。每周要人工投喂一天，记录该池鱼每次的吃食量，这一周就可按此量放入投饵箱，按规定量投喂，最好不要随意增减。</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（4）投饵机喂鱼时要观察鱼的吃食情况，切忌料一倒就开机的做法。</w:t>
      </w:r>
    </w:p>
    <w:p>
      <w:pPr>
        <w:keepNext w:val="0"/>
        <w:keepLines w:val="0"/>
        <w:widowControl/>
        <w:numPr>
          <w:ilvl w:val="0"/>
          <w:numId w:val="0"/>
        </w:numPr>
        <w:suppressLineNumbers w:val="0"/>
        <w:ind w:firstLine="280" w:firstLineChars="1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（5）阴雨天要停止投喂。</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（6）每半月进行全池消毒时，要检查清理食台底部饵料残渣。</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w:t>
      </w:r>
      <w:r>
        <w:rPr>
          <w:rFonts w:hint="eastAsia" w:ascii="黑体" w:hAnsi="黑体" w:eastAsia="黑体" w:cs="黑体"/>
          <w:kern w:val="0"/>
          <w:sz w:val="28"/>
          <w:szCs w:val="28"/>
          <w:lang w:val="en-US" w:eastAsia="zh-CN" w:bidi="ar"/>
        </w:rPr>
        <w:t xml:space="preserve"> 四、机具类型</w:t>
      </w:r>
      <w:r>
        <w:rPr>
          <w:rFonts w:hint="eastAsia" w:ascii="黑体" w:hAnsi="黑体" w:eastAsia="黑体" w:cs="黑体"/>
          <w:kern w:val="0"/>
          <w:sz w:val="28"/>
          <w:szCs w:val="28"/>
          <w:lang w:val="en-US" w:eastAsia="zh-CN" w:bidi="ar"/>
        </w:rPr>
        <w:br w:type="textWrapping"/>
      </w:r>
      <w:r>
        <w:rPr>
          <w:rFonts w:hint="eastAsia" w:ascii="黑体" w:hAnsi="黑体" w:eastAsia="黑体" w:cs="黑体"/>
          <w:kern w:val="0"/>
          <w:sz w:val="28"/>
          <w:szCs w:val="28"/>
          <w:lang w:val="en-US" w:eastAsia="zh-CN" w:bidi="ar"/>
        </w:rPr>
        <w:t xml:space="preserve">    </w:t>
      </w:r>
      <w:r>
        <w:rPr>
          <w:rFonts w:hint="eastAsia" w:ascii="仿宋" w:hAnsi="仿宋" w:eastAsia="仿宋" w:cs="仿宋"/>
          <w:kern w:val="0"/>
          <w:sz w:val="28"/>
          <w:szCs w:val="28"/>
          <w:lang w:val="en-US" w:eastAsia="zh-CN" w:bidi="ar"/>
        </w:rPr>
        <w:t>饲料投饵机由电动机、甩料盘、下料漏斗、搅拌器、落料控制片和机壳等组成。工作时，电动机经皮带轮减速后带动甩料盘和搅拌器转动，通过搅拌器的饲料经落料控制片和下料漏斗落入料盘，被叶片甩出机外，定向投入池中。饲料呈扇形散落鱼池中，也可以呈360°全方位投饲。</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投饵机根据动力的不同，主要有3种类型：一是使用电压220伏特的投饵机，广泛适用于池塘、水库养殖，是目前普遍使用的；二是不用动力的小型投饵机，适用于面积较小的网箱和工厂化养殖；三是电瓶直流电供电的，适合电源不方便的边远零星鱼塘（图1至图4）。</w:t>
      </w:r>
    </w:p>
    <w:p>
      <w:pPr>
        <w:keepNext w:val="0"/>
        <w:keepLines w:val="0"/>
        <w:widowControl/>
        <w:numPr>
          <w:ilvl w:val="0"/>
          <w:numId w:val="0"/>
        </w:numPr>
        <w:suppressLineNumbers w:val="0"/>
        <w:ind w:left="239" w:leftChars="114" w:firstLine="240" w:firstLineChars="100"/>
        <w:jc w:val="left"/>
        <w:rPr>
          <w:rFonts w:hint="eastAsia" w:ascii="仿宋" w:hAnsi="仿宋" w:eastAsia="仿宋" w:cs="仿宋"/>
          <w:kern w:val="0"/>
          <w:sz w:val="28"/>
          <w:szCs w:val="28"/>
          <w:lang w:val="en-US" w:eastAsia="zh-CN" w:bidi="ar"/>
        </w:rPr>
      </w:pPr>
      <w:r>
        <w:rPr>
          <w:rFonts w:ascii="宋体" w:hAnsi="宋体" w:eastAsia="宋体" w:cs="宋体"/>
          <w:sz w:val="24"/>
          <w:szCs w:val="24"/>
        </w:rPr>
        <w:drawing>
          <wp:inline distT="0" distB="0" distL="114300" distR="114300">
            <wp:extent cx="2019300" cy="2286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19300" cy="228600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733675" cy="209550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733675" cy="2095500"/>
                    </a:xfrm>
                    <a:prstGeom prst="rect">
                      <a:avLst/>
                    </a:prstGeom>
                    <a:noFill/>
                    <a:ln w="9525">
                      <a:noFill/>
                    </a:ln>
                  </pic:spPr>
                </pic:pic>
              </a:graphicData>
            </a:graphic>
          </wp:inline>
        </w:drawing>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图1  SIFR-370自动投饵机         图2  自动投饵机作业</w:t>
      </w:r>
    </w:p>
    <w:p>
      <w:pPr>
        <w:keepNext w:val="0"/>
        <w:keepLines w:val="0"/>
        <w:widowControl/>
        <w:numPr>
          <w:ilvl w:val="0"/>
          <w:numId w:val="0"/>
        </w:numPr>
        <w:suppressLineNumbers w:val="0"/>
        <w:ind w:left="239" w:leftChars="114" w:firstLine="240" w:firstLineChars="100"/>
        <w:jc w:val="left"/>
        <w:rPr>
          <w:rFonts w:hint="eastAsia" w:ascii="仿宋" w:hAnsi="仿宋" w:eastAsia="仿宋" w:cs="仿宋"/>
          <w:sz w:val="28"/>
          <w:szCs w:val="28"/>
        </w:rPr>
      </w:pPr>
      <w:r>
        <w:rPr>
          <w:rFonts w:ascii="宋体" w:hAnsi="宋体" w:eastAsia="宋体" w:cs="宋体"/>
          <w:sz w:val="24"/>
          <w:szCs w:val="24"/>
        </w:rPr>
        <w:drawing>
          <wp:inline distT="0" distB="0" distL="114300" distR="114300">
            <wp:extent cx="2312035" cy="1734185"/>
            <wp:effectExtent l="0" t="0" r="12065" b="184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2312035" cy="173418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193290" cy="1508760"/>
            <wp:effectExtent l="0" t="0" r="16510" b="1524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2193290" cy="1508760"/>
                    </a:xfrm>
                    <a:prstGeom prst="rect">
                      <a:avLst/>
                    </a:prstGeom>
                    <a:noFill/>
                    <a:ln w="9525">
                      <a:noFill/>
                    </a:ln>
                  </pic:spPr>
                </pic:pic>
              </a:graphicData>
            </a:graphic>
          </wp:inline>
        </w:drawing>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图3  STFZ-3000W气动式鱼塘投饵机  图4  无线遥控虾塘投饵机</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w:t>
      </w:r>
      <w:r>
        <w:rPr>
          <w:rFonts w:hint="eastAsia" w:ascii="黑体" w:hAnsi="黑体" w:eastAsia="黑体" w:cs="黑体"/>
          <w:kern w:val="0"/>
          <w:sz w:val="28"/>
          <w:szCs w:val="28"/>
          <w:lang w:val="en-US" w:eastAsia="zh-CN" w:bidi="ar"/>
        </w:rPr>
        <w:t>五、使用注意事项</w:t>
      </w:r>
      <w:r>
        <w:rPr>
          <w:rFonts w:hint="eastAsia" w:ascii="黑体" w:hAnsi="黑体" w:eastAsia="黑体" w:cs="黑体"/>
          <w:kern w:val="0"/>
          <w:sz w:val="28"/>
          <w:szCs w:val="28"/>
          <w:lang w:val="en-US" w:eastAsia="zh-CN" w:bidi="ar"/>
        </w:rPr>
        <w:br w:type="textWrapping"/>
      </w:r>
      <w:r>
        <w:rPr>
          <w:rFonts w:hint="eastAsia" w:ascii="黑体" w:hAnsi="黑体" w:eastAsia="黑体" w:cs="黑体"/>
          <w:kern w:val="0"/>
          <w:sz w:val="28"/>
          <w:szCs w:val="28"/>
          <w:lang w:val="en-US" w:eastAsia="zh-CN" w:bidi="ar"/>
        </w:rPr>
        <w:t xml:space="preserve">    </w:t>
      </w:r>
      <w:r>
        <w:rPr>
          <w:rFonts w:hint="eastAsia" w:ascii="仿宋" w:hAnsi="仿宋" w:eastAsia="仿宋" w:cs="仿宋"/>
          <w:kern w:val="0"/>
          <w:sz w:val="28"/>
          <w:szCs w:val="28"/>
          <w:lang w:val="en-US" w:eastAsia="zh-CN" w:bidi="ar"/>
        </w:rPr>
        <w:t>（1）选择适当的位置。投饵机必须面对鱼池的开阔面，要放在离岸3～4米处的栈桥上，栈桥高度离池塘最高水位20～30厘米。</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（2）在生产管理过程中，要注意观察天气、水温、水色和鱼类摄食情况变化，及时调整投饵机的投饲量、次数及持续时间，以保证鱼类得到较充足的饲料又不造成饲料浪费。</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3）驯化鱼群上浮抢食的习惯。驯化阶段应当少投、慢投，可把间隔时间调到10秒以上，每次投饵时间可延长至3～4小时。鱼群驯化期的长短除与水温有关外，还与水质肥瘦、放养模式有密切关系。水质瘦驯化期短，反之则长。</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（4）投饵机在使用时都与水面较接近，注意用电安全。</w:t>
      </w:r>
    </w:p>
    <w:p>
      <w:pPr>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3DD23"/>
    <w:multiLevelType w:val="singleLevel"/>
    <w:tmpl w:val="AC33DD2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A0E23"/>
    <w:rsid w:val="063D4A02"/>
    <w:rsid w:val="0AD4003D"/>
    <w:rsid w:val="0FFC0123"/>
    <w:rsid w:val="121B3138"/>
    <w:rsid w:val="18195920"/>
    <w:rsid w:val="1968752D"/>
    <w:rsid w:val="531666A5"/>
    <w:rsid w:val="6B7A0E23"/>
    <w:rsid w:val="74A9776D"/>
    <w:rsid w:val="789F7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2018-03-05T02:23:00Z</dcterms:created>
  <dc:creator>wendy</dc:creator>
  <cp:lastModifiedBy>wendy</cp:lastModifiedBy>
  <dcterms:modified xsi:type="dcterms:W3CDTF">2018-03-05T02:38:25Z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