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center"/>
        <w:rPr>
          <w:rFonts w:hint="eastAsia" w:ascii="黑体" w:hAnsi="黑体" w:eastAsia="黑体" w:cs="黑体"/>
          <w:kern w:val="0"/>
          <w:sz w:val="32"/>
          <w:szCs w:val="32"/>
          <w:lang w:val="en-US" w:eastAsia="zh-CN" w:bidi="ar"/>
        </w:rPr>
      </w:pPr>
    </w:p>
    <w:p>
      <w:pPr>
        <w:keepNext w:val="0"/>
        <w:keepLines w:val="0"/>
        <w:widowControl/>
        <w:numPr>
          <w:ilvl w:val="0"/>
          <w:numId w:val="0"/>
        </w:numPr>
        <w:suppressLineNumbers w:val="0"/>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水产养殖饲料投饵机械化技术</w:t>
      </w:r>
      <w:r>
        <w:rPr>
          <w:rFonts w:hint="eastAsia" w:ascii="黑体" w:hAnsi="黑体" w:eastAsia="黑体" w:cs="黑体"/>
          <w:kern w:val="0"/>
          <w:sz w:val="32"/>
          <w:szCs w:val="32"/>
          <w:lang w:val="en-US" w:eastAsia="zh-CN" w:bidi="ar"/>
        </w:rPr>
        <w:br w:type="textWrapping"/>
      </w:r>
    </w:p>
    <w:p>
      <w:pPr>
        <w:keepNext w:val="0"/>
        <w:keepLines w:val="0"/>
        <w:widowControl/>
        <w:numPr>
          <w:ilvl w:val="0"/>
          <w:numId w:val="0"/>
        </w:numPr>
        <w:suppressLineNumbers w:val="0"/>
        <w:ind w:firstLine="560" w:firstLineChars="200"/>
        <w:jc w:val="left"/>
        <w:rPr>
          <w:rFonts w:hint="eastAsia" w:ascii="黑体" w:hAnsi="黑体" w:eastAsia="黑体" w:cs="黑体"/>
          <w:kern w:val="0"/>
          <w:sz w:val="28"/>
          <w:szCs w:val="28"/>
          <w:lang w:val="en-US" w:eastAsia="zh-CN" w:bidi="ar"/>
        </w:rPr>
      </w:pPr>
      <w:r>
        <w:rPr>
          <w:rFonts w:hint="eastAsia" w:ascii="黑体" w:hAnsi="黑体" w:eastAsia="黑体" w:cs="黑体"/>
          <w:kern w:val="0"/>
          <w:sz w:val="28"/>
          <w:szCs w:val="28"/>
          <w:lang w:val="en-US" w:eastAsia="zh-CN" w:bidi="ar"/>
        </w:rPr>
        <w:t>一、技术应用意义及应用现状</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（一）技术应用意义</w:t>
      </w:r>
    </w:p>
    <w:p>
      <w:pPr>
        <w:keepNext w:val="0"/>
        <w:keepLines w:val="0"/>
        <w:widowControl/>
        <w:numPr>
          <w:ilvl w:val="0"/>
          <w:numId w:val="0"/>
        </w:numPr>
        <w:suppressLineNumbers w:val="0"/>
        <w:ind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水产养殖需每天进行投饵饲喂，传统人工投饵不仅费时费力，而且速度慢，投入不均匀，由于摄食面小、水溶度高等因素，人工投饵饲料损失率约15%～20%。因此，养殖户尤其是规模较大的养殖专业户购置自动投饵机，通过机械自动化投放，能够大量节省人力，同时减少人的活动对鱼类摄食的影响，有利于鱼类生长，有利于养殖产业规模化、集约化，可大幅提高水产养殖经济效益。</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（二）技术应用现状</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随着水产养殖业的发展，广西水产养殖饲料投饵机械化技术已广泛地应用于渔业生产，特别适用于大型综合性的高密度集约化养殖生产模式。2013年全区投饵机的数量也在不断增加，达到了1523台。</w:t>
      </w:r>
      <w:r>
        <w:rPr>
          <w:rFonts w:hint="eastAsia" w:ascii="仿宋" w:hAnsi="仿宋" w:eastAsia="仿宋" w:cs="仿宋"/>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二、技术内容</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（一）技术定义</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饲料投饵机械化技术是指采用饲料投饵机械适时适量向养殖池塘水面抛撒喂养饵料的作业过程。</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（二）作用与效果</w:t>
      </w:r>
      <w:r>
        <w:rPr>
          <w:rFonts w:hint="eastAsia" w:ascii="黑体" w:hAnsi="黑体" w:eastAsia="黑体" w:cs="黑体"/>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（1）减少饲料浪费，提高饲料报酬，降低饲料系数。</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（2）提高产量而不增加投入。</w:t>
      </w:r>
      <w:bookmarkStart w:id="0" w:name="_GoBack"/>
      <w:bookmarkEnd w:id="0"/>
    </w:p>
    <w:p>
      <w:pPr>
        <w:keepNext w:val="0"/>
        <w:keepLines w:val="0"/>
        <w:widowControl/>
        <w:numPr>
          <w:ilvl w:val="0"/>
          <w:numId w:val="1"/>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减少对水质的污染，减少水中氧气的消耗。</w:t>
      </w:r>
    </w:p>
    <w:p>
      <w:pPr>
        <w:keepNext w:val="0"/>
        <w:keepLines w:val="0"/>
        <w:widowControl/>
        <w:numPr>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（4）鱼类不致因饿食饱食而致病。</w:t>
      </w:r>
    </w:p>
    <w:p>
      <w:pPr>
        <w:keepNext w:val="0"/>
        <w:keepLines w:val="0"/>
        <w:widowControl/>
        <w:numPr>
          <w:numId w:val="0"/>
        </w:numPr>
        <w:suppressLineNumbers w:val="0"/>
        <w:ind w:firstLine="560" w:firstLineChars="200"/>
        <w:jc w:val="left"/>
        <w:rPr>
          <w:rFonts w:hint="eastAsia" w:ascii="黑体" w:hAnsi="黑体" w:eastAsia="黑体" w:cs="黑体"/>
          <w:kern w:val="0"/>
          <w:sz w:val="24"/>
          <w:szCs w:val="24"/>
          <w:lang w:val="en-US" w:eastAsia="zh-CN" w:bidi="ar"/>
        </w:rPr>
      </w:pPr>
      <w:r>
        <w:rPr>
          <w:rFonts w:hint="eastAsia" w:ascii="黑体" w:hAnsi="黑体" w:eastAsia="黑体" w:cs="黑体"/>
          <w:kern w:val="0"/>
          <w:sz w:val="28"/>
          <w:szCs w:val="28"/>
          <w:lang w:val="en-US" w:eastAsia="zh-CN" w:bidi="ar"/>
        </w:rPr>
        <w:t>三、技术规范</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(一）技术路线</w:t>
      </w:r>
      <w:r>
        <w:rPr>
          <w:rFonts w:hint="eastAsia" w:ascii="黑体" w:hAnsi="黑体" w:eastAsia="黑体" w:cs="黑体"/>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设定投饵量及投喂次数→机械喇叭发出声响（约20秒/声）→饲料间隔反复式抛撒（投喂频率4～6次/天）。</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（二）主要技术指标（表）</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仿宋" w:hAnsi="仿宋" w:eastAsia="仿宋" w:cs="仿宋"/>
          <w:kern w:val="0"/>
          <w:sz w:val="24"/>
          <w:szCs w:val="24"/>
          <w:lang w:val="en-US" w:eastAsia="zh-CN" w:bidi="ar"/>
        </w:rPr>
        <w:t>表  饲料投饵机械技术指标</w:t>
      </w:r>
    </w:p>
    <w:p>
      <w:pPr>
        <w:keepNext w:val="0"/>
        <w:keepLines w:val="0"/>
        <w:widowControl/>
        <w:numPr>
          <w:ilvl w:val="0"/>
          <w:numId w:val="0"/>
        </w:numPr>
        <w:suppressLineNumbers w:val="0"/>
        <w:ind w:leftChars="200"/>
        <w:jc w:val="left"/>
        <w:rPr>
          <w:rFonts w:hint="eastAsia" w:ascii="黑体" w:hAnsi="黑体" w:eastAsia="黑体" w:cs="黑体"/>
          <w:kern w:val="0"/>
          <w:sz w:val="24"/>
          <w:szCs w:val="24"/>
          <w:lang w:val="en-US" w:eastAsia="zh-CN" w:bidi="ar"/>
        </w:rPr>
      </w:pPr>
    </w:p>
    <w:tbl>
      <w:tblPr>
        <w:tblStyle w:val="4"/>
        <w:tblpPr w:leftFromText="180" w:rightFromText="180" w:vertAnchor="text" w:horzAnchor="page" w:tblpXSpec="center" w:tblpY="-27"/>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825"/>
        <w:gridCol w:w="1090"/>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功率</w:t>
            </w:r>
          </w:p>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lang w:val="en-US" w:eastAsia="zh-CN" w:bidi="ar"/>
              </w:rPr>
              <w:t>（瓦）</w:t>
            </w:r>
          </w:p>
        </w:tc>
        <w:tc>
          <w:tcPr>
            <w:tcW w:w="142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投饵距离</w:t>
            </w:r>
            <w:r>
              <w:rPr>
                <w:rFonts w:hint="eastAsia" w:ascii="仿宋" w:hAnsi="仿宋" w:eastAsia="仿宋" w:cs="仿宋"/>
                <w:kern w:val="0"/>
                <w:sz w:val="24"/>
                <w:szCs w:val="24"/>
                <w:lang w:val="en-US" w:eastAsia="zh-CN" w:bidi="ar"/>
              </w:rPr>
              <w:t>（米）</w:t>
            </w:r>
          </w:p>
        </w:tc>
        <w:tc>
          <w:tcPr>
            <w:tcW w:w="142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容积</w:t>
            </w:r>
          </w:p>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lang w:val="en-US" w:eastAsia="zh-CN" w:bidi="ar"/>
              </w:rPr>
              <w:t>（千克）</w:t>
            </w:r>
          </w:p>
        </w:tc>
        <w:tc>
          <w:tcPr>
            <w:tcW w:w="1825"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使用面积</w:t>
            </w:r>
          </w:p>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lang w:val="en-US" w:eastAsia="zh-CN" w:bidi="ar"/>
              </w:rPr>
              <w:t>（公顷/台）</w:t>
            </w:r>
          </w:p>
        </w:tc>
        <w:tc>
          <w:tcPr>
            <w:tcW w:w="109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利用率</w:t>
            </w:r>
            <w:r>
              <w:rPr>
                <w:rFonts w:hint="eastAsia" w:ascii="仿宋" w:hAnsi="仿宋" w:eastAsia="仿宋" w:cs="仿宋"/>
                <w:kern w:val="0"/>
                <w:sz w:val="24"/>
                <w:szCs w:val="24"/>
                <w:lang w:val="en-US" w:eastAsia="zh-CN" w:bidi="ar"/>
              </w:rPr>
              <w:t>（%）</w:t>
            </w:r>
          </w:p>
        </w:tc>
        <w:tc>
          <w:tcPr>
            <w:tcW w:w="1347"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吸收率</w:t>
            </w:r>
            <w:r>
              <w:rPr>
                <w:rFonts w:hint="eastAsia" w:ascii="仿宋" w:hAnsi="仿宋" w:eastAsia="仿宋" w:cs="仿宋"/>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30～100</w:t>
            </w:r>
          </w:p>
        </w:tc>
        <w:tc>
          <w:tcPr>
            <w:tcW w:w="142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2～18</w:t>
            </w:r>
          </w:p>
        </w:tc>
        <w:tc>
          <w:tcPr>
            <w:tcW w:w="142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60～120</w:t>
            </w:r>
          </w:p>
        </w:tc>
        <w:tc>
          <w:tcPr>
            <w:tcW w:w="1825"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0.33～1.33</w:t>
            </w:r>
          </w:p>
        </w:tc>
        <w:tc>
          <w:tcPr>
            <w:tcW w:w="1090"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15～20</w:t>
            </w:r>
          </w:p>
        </w:tc>
        <w:tc>
          <w:tcPr>
            <w:tcW w:w="1347" w:type="dxa"/>
            <w:vAlign w:val="center"/>
          </w:tcPr>
          <w:p>
            <w:pPr>
              <w:keepNext w:val="0"/>
              <w:keepLines w:val="0"/>
              <w:widowControl/>
              <w:numPr>
                <w:ilvl w:val="0"/>
                <w:numId w:val="0"/>
              </w:numPr>
              <w:suppressLineNumbers w:val="0"/>
              <w:jc w:val="center"/>
              <w:rPr>
                <w:rFonts w:hint="eastAsia" w:ascii="仿宋" w:hAnsi="仿宋" w:eastAsia="仿宋" w:cs="仿宋"/>
                <w:kern w:val="0"/>
                <w:sz w:val="24"/>
                <w:szCs w:val="24"/>
                <w:vertAlign w:val="baseline"/>
                <w:lang w:val="en-US" w:eastAsia="zh-CN" w:bidi="ar"/>
              </w:rPr>
            </w:pPr>
            <w:r>
              <w:rPr>
                <w:rFonts w:hint="eastAsia" w:ascii="仿宋" w:hAnsi="仿宋" w:eastAsia="仿宋" w:cs="仿宋"/>
                <w:kern w:val="0"/>
                <w:sz w:val="24"/>
                <w:szCs w:val="24"/>
                <w:vertAlign w:val="baseline"/>
                <w:lang w:val="en-US" w:eastAsia="zh-CN" w:bidi="ar"/>
              </w:rPr>
              <w:t>20～30</w:t>
            </w:r>
          </w:p>
        </w:tc>
      </w:tr>
    </w:tbl>
    <w:p>
      <w:pPr>
        <w:keepNext w:val="0"/>
        <w:keepLines w:val="0"/>
        <w:widowControl/>
        <w:numPr>
          <w:ilvl w:val="0"/>
          <w:numId w:val="0"/>
        </w:numPr>
        <w:suppressLineNumbers w:val="0"/>
        <w:ind w:firstLine="280" w:firstLineChars="100"/>
        <w:jc w:val="left"/>
        <w:rPr>
          <w:rFonts w:hint="eastAsia" w:ascii="黑体" w:hAnsi="黑体" w:eastAsia="黑体" w:cs="黑体"/>
          <w:kern w:val="0"/>
          <w:sz w:val="28"/>
          <w:szCs w:val="28"/>
          <w:lang w:val="en-US" w:eastAsia="zh-CN" w:bidi="ar"/>
        </w:rPr>
      </w:pPr>
      <w:r>
        <w:rPr>
          <w:rFonts w:hint="eastAsia" w:ascii="黑体" w:hAnsi="黑体" w:eastAsia="黑体" w:cs="黑体"/>
          <w:kern w:val="0"/>
          <w:sz w:val="28"/>
          <w:szCs w:val="28"/>
          <w:lang w:val="en-US" w:eastAsia="zh-CN" w:bidi="ar"/>
        </w:rPr>
        <w:t>（三）技术要点</w:t>
      </w:r>
    </w:p>
    <w:p>
      <w:pPr>
        <w:keepNext w:val="0"/>
        <w:keepLines w:val="0"/>
        <w:widowControl/>
        <w:numPr>
          <w:ilvl w:val="0"/>
          <w:numId w:val="0"/>
        </w:numPr>
        <w:suppressLineNumbers w:val="0"/>
        <w:ind w:left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（1）安装投饵机要选择面对鱼池的开阔面，水位深的位置，以利鱼抢食。两池并列可共用一个投饵机，底盘做成活动的，转个向即可。</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（2）调好投撒的远近距离及间隔时间。</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（3）投饵量每周确定一次较为合适。每周要人工投喂一天，记录该池鱼每次的吃食量，这一周就可按此量放入投饵箱，按规定量投喂，最好不要随意增减。</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（4）投饵机喂鱼时要观察鱼的吃食情况，切忌料一倒就开机的做法。</w:t>
      </w:r>
    </w:p>
    <w:p>
      <w:pPr>
        <w:keepNext w:val="0"/>
        <w:keepLines w:val="0"/>
        <w:widowControl/>
        <w:numPr>
          <w:ilvl w:val="0"/>
          <w:numId w:val="0"/>
        </w:numPr>
        <w:suppressLineNumbers w:val="0"/>
        <w:ind w:firstLine="280" w:firstLineChars="1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（5）阴雨天要停止投喂。</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（6）每半月进行全池消毒时，要检查清理食台底部饵料残渣。</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 xml:space="preserve"> 四、机具类型</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饲料投饵机由电动机、甩料盘、下料漏斗、搅拌器、落料控制片和机壳等组成。工作时，电动机经皮带轮减速后带动甩料盘和搅拌器转动，通过搅拌器的饲料经落料控制片和下料漏斗落入料盘，被叶片甩出机外，定向投入池中。饲料呈扇形散落鱼池中，也可以呈360°全方位投饲。</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投饵机根据动力的不同，主要有3种类型：一是使用电压220伏特的投饵机，广泛适用于池塘、水库养殖，是目前普遍使用的；二是不用动力的小型投饵机，适用于面积较小的网箱和工厂化养殖；三是电瓶直流电供电的，适合电源不方便的边远零星鱼塘（图1至图4）。</w:t>
      </w:r>
    </w:p>
    <w:p>
      <w:pPr>
        <w:keepNext w:val="0"/>
        <w:keepLines w:val="0"/>
        <w:widowControl/>
        <w:numPr>
          <w:ilvl w:val="0"/>
          <w:numId w:val="0"/>
        </w:numPr>
        <w:suppressLineNumbers w:val="0"/>
        <w:ind w:left="239" w:leftChars="114" w:firstLine="240" w:firstLineChars="100"/>
        <w:jc w:val="left"/>
        <w:rPr>
          <w:rFonts w:hint="eastAsia" w:ascii="仿宋" w:hAnsi="仿宋" w:eastAsia="仿宋" w:cs="仿宋"/>
          <w:kern w:val="0"/>
          <w:sz w:val="28"/>
          <w:szCs w:val="28"/>
          <w:lang w:val="en-US" w:eastAsia="zh-CN" w:bidi="ar"/>
        </w:rPr>
      </w:pPr>
      <w:r>
        <w:rPr>
          <w:rFonts w:ascii="宋体" w:hAnsi="宋体" w:eastAsia="宋体" w:cs="宋体"/>
          <w:sz w:val="24"/>
          <w:szCs w:val="24"/>
        </w:rPr>
        <w:drawing>
          <wp:inline distT="0" distB="0" distL="114300" distR="114300">
            <wp:extent cx="2019300" cy="2286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19300" cy="2286000"/>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2733675" cy="20955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733675" cy="2095500"/>
                    </a:xfrm>
                    <a:prstGeom prst="rect">
                      <a:avLst/>
                    </a:prstGeom>
                    <a:noFill/>
                    <a:ln w="9525">
                      <a:noFill/>
                    </a:ln>
                  </pic:spPr>
                </pic:pic>
              </a:graphicData>
            </a:graphic>
          </wp:inline>
        </w:drawing>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图1  SIFR-370自动投饵机         图2  自动投饵机作业</w:t>
      </w:r>
    </w:p>
    <w:p>
      <w:pPr>
        <w:keepNext w:val="0"/>
        <w:keepLines w:val="0"/>
        <w:widowControl/>
        <w:numPr>
          <w:ilvl w:val="0"/>
          <w:numId w:val="0"/>
        </w:numPr>
        <w:suppressLineNumbers w:val="0"/>
        <w:ind w:left="239" w:leftChars="114" w:firstLine="240" w:firstLineChars="100"/>
        <w:jc w:val="left"/>
        <w:rPr>
          <w:rFonts w:hint="eastAsia" w:ascii="仿宋" w:hAnsi="仿宋" w:eastAsia="仿宋" w:cs="仿宋"/>
          <w:sz w:val="28"/>
          <w:szCs w:val="28"/>
        </w:rPr>
      </w:pPr>
      <w:r>
        <w:rPr>
          <w:rFonts w:ascii="宋体" w:hAnsi="宋体" w:eastAsia="宋体" w:cs="宋体"/>
          <w:sz w:val="24"/>
          <w:szCs w:val="24"/>
        </w:rPr>
        <w:drawing>
          <wp:inline distT="0" distB="0" distL="114300" distR="114300">
            <wp:extent cx="2312035" cy="1734185"/>
            <wp:effectExtent l="0" t="0" r="12065" b="184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2312035" cy="173418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2193290" cy="1508760"/>
            <wp:effectExtent l="0" t="0" r="16510" b="1524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2193290" cy="1508760"/>
                    </a:xfrm>
                    <a:prstGeom prst="rect">
                      <a:avLst/>
                    </a:prstGeom>
                    <a:noFill/>
                    <a:ln w="9525">
                      <a:noFill/>
                    </a:ln>
                  </pic:spPr>
                </pic:pic>
              </a:graphicData>
            </a:graphic>
          </wp:inline>
        </w:drawing>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图3  STFZ-3000W气动式鱼塘投饵机  图4  无线遥控虾塘投饵机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五、使用注意事项</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（1）选择适当的位置。投饵机必须面对鱼池的开阔面，要放在离岸3～4米处的栈桥上，栈桥高度离池塘最高水位20～30厘米。</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（2）在生产管理过程中，要注意观察天气、水温、水色和鱼类摄食情况变化，及时调整投饵机的投饲量、次数及持续时间，以保证鱼类得到较充足的饲料又不造成饲料浪费。</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3）驯化鱼群上浮抢食的习惯。驯化阶段应当少投、慢投，可把间隔时间调到10秒以上，每次投饵时间可延长至3～4小时。鱼群驯化期的长短除与水温有关外，还与水质肥瘦、放养模式有密切关系。水质瘦驯化期短，反之则长。</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（4）投饵机在使用时都与水面较接近，注意用电安全。</w:t>
      </w:r>
    </w:p>
    <w:p>
      <w:pPr>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3DD23"/>
    <w:multiLevelType w:val="singleLevel"/>
    <w:tmpl w:val="AC33DD2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A0E23"/>
    <w:rsid w:val="063D4A02"/>
    <w:rsid w:val="0AD4003D"/>
    <w:rsid w:val="0FFC0123"/>
    <w:rsid w:val="121B3138"/>
    <w:rsid w:val="18195920"/>
    <w:rsid w:val="1968752D"/>
    <w:rsid w:val="531666A5"/>
    <w:rsid w:val="6B7A0E23"/>
    <w:rsid w:val="74A9776D"/>
    <w:rsid w:val="789F7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2018-03-05T02:23:00Z</dcterms:created>
  <dc:creator>wendy</dc:creator>
  <cp:lastModifiedBy>wendy</cp:lastModifiedBy>
  <dcterms:modified xsi:type="dcterms:W3CDTF">2018-03-05T02:38:25Z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