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扶贫开发办公室</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概况</w:t>
      </w:r>
    </w:p>
    <w:p>
      <w:pPr>
        <w:ind w:firstLine="646"/>
        <w:rPr>
          <w:rFonts w:hint="eastAsia" w:ascii="仿宋_GB2312" w:eastAsia="仿宋_GB2312"/>
          <w:sz w:val="32"/>
          <w:szCs w:val="32"/>
        </w:rPr>
      </w:pPr>
      <w:r>
        <w:rPr>
          <w:rFonts w:hint="eastAsia" w:ascii="仿宋_GB2312" w:eastAsia="仿宋_GB2312"/>
          <w:sz w:val="32"/>
          <w:szCs w:val="32"/>
        </w:rPr>
        <w:t>一、主要职能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拟订全市扶贫开发总体规划和政策措施，负责脱贫攻坚与乡村振兴衔接工作。</w:t>
      </w:r>
    </w:p>
    <w:p>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负责组织开展扶贫对象精准识别、精准退出工作。负责全市扶贫开发信息化建设。负责组织全市贫困状况的监测与统计。</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参与制定全市财政专项扶贫资金管理办法并组织实施。会同有关部门提出市本级财政专项扶贫资金（扶贫发展支出方向）的投向和分配建议，指导和监督专项扶贫资金的使用，组织开展财政专项扶贫资金绩效评价。会同相关部门开展金融扶贫、资产收益扶贫。</w:t>
      </w:r>
    </w:p>
    <w:p>
      <w:pPr>
        <w:snapToGrid w:val="0"/>
        <w:spacing w:line="520" w:lineRule="exact"/>
        <w:ind w:firstLine="640" w:firstLineChars="200"/>
        <w:rPr>
          <w:rFonts w:hint="eastAsia" w:ascii="仿宋_GB2312" w:hAnsi="仿宋"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拟定全市扶贫开发项目管理办法。指导督促扶贫项目库建设、项目动态管理，指导扶贫项目实施及效果评估。参与易地扶贫搬迁、产业扶贫、村集体经济发展、旅游扶贫工作。</w:t>
      </w:r>
    </w:p>
    <w:p>
      <w:pPr>
        <w:spacing w:line="360" w:lineRule="auto"/>
        <w:ind w:firstLine="640" w:firstLineChars="200"/>
        <w:jc w:val="left"/>
        <w:rPr>
          <w:rFonts w:hint="eastAsia" w:ascii="仿宋_GB2312" w:hAnsi="仿宋"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协调社会各界的扶贫工作，检查、督促落实市直单位定点扶贫责任制。负责市内外扶贫协作，组织开展扶贫对外交流与合作。</w:t>
      </w:r>
    </w:p>
    <w:p>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负责中区直单位定点扶持和东部地区对口帮扶柳州的组织协调和联络工作。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负责组织开展扶贫开发成效的评估督查考核、扶贫对象退出检查核验。检查、督促行业扶贫责任落实情况。</w:t>
      </w:r>
    </w:p>
    <w:p>
      <w:pPr>
        <w:spacing w:line="360" w:lineRule="auto"/>
        <w:ind w:firstLine="640" w:firstLineChars="200"/>
        <w:jc w:val="left"/>
        <w:rPr>
          <w:rFonts w:hint="eastAsia" w:ascii="仿宋_GB2312" w:hAnsi="仿宋"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负责组织指导全市扶贫干部培训、农村实用技术培训工作，参与实施扶贫对象劳动力转移培训工作。会同有关部门落实全市雨露计划扶贫培训、农村创业致富带头人培育政策。会同有关部门指导、协调贫困地区劳务经济发展、人力资源开发、贫困地区劳务输出。</w:t>
      </w:r>
    </w:p>
    <w:p>
      <w:pPr>
        <w:snapToGrid w:val="0"/>
        <w:spacing w:line="520" w:lineRule="exact"/>
        <w:ind w:firstLine="640" w:firstLineChars="200"/>
        <w:rPr>
          <w:rFonts w:hint="eastAsia" w:ascii="仿宋_GB2312" w:hAnsi="仿宋" w:eastAsia="仿宋_GB2312"/>
          <w:sz w:val="32"/>
          <w:szCs w:val="32"/>
        </w:rPr>
      </w:pPr>
      <w:r>
        <w:rPr>
          <w:rFonts w:hint="eastAsia" w:ascii="仿宋_GB2312" w:eastAsia="仿宋_GB2312"/>
          <w:sz w:val="32"/>
          <w:szCs w:val="32"/>
        </w:rPr>
        <w:t>（九）</w:t>
      </w:r>
      <w:r>
        <w:rPr>
          <w:rFonts w:hint="eastAsia" w:ascii="仿宋_GB2312" w:hAnsi="仿宋" w:eastAsia="仿宋_GB2312"/>
          <w:sz w:val="32"/>
          <w:szCs w:val="32"/>
        </w:rPr>
        <w:t>指导对外扶贫项目的实施。</w:t>
      </w:r>
    </w:p>
    <w:p>
      <w:pPr>
        <w:numPr>
          <w:ilvl w:val="0"/>
          <w:numId w:val="0"/>
        </w:num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eastAsia="zh-CN"/>
        </w:rPr>
        <w:t>十</w:t>
      </w:r>
      <w:r>
        <w:rPr>
          <w:rFonts w:hint="eastAsia" w:ascii="仿宋_GB2312" w:eastAsia="仿宋_GB2312"/>
          <w:sz w:val="32"/>
          <w:szCs w:val="32"/>
        </w:rPr>
        <w:t>）</w:t>
      </w:r>
      <w:r>
        <w:rPr>
          <w:rFonts w:hint="eastAsia" w:ascii="仿宋_GB2312" w:hAnsi="仿宋" w:eastAsia="仿宋_GB2312"/>
          <w:sz w:val="32"/>
          <w:szCs w:val="32"/>
          <w:lang w:eastAsia="zh-CN"/>
        </w:rPr>
        <w:t>承办柳州市革命老区建设委员会日常工作，负责组织、协调和指导全市革命老区建设工作，联系市革命老区建设促进会。</w:t>
      </w:r>
    </w:p>
    <w:p>
      <w:pPr>
        <w:spacing w:line="360" w:lineRule="auto"/>
        <w:ind w:firstLine="640" w:firstLineChars="200"/>
        <w:jc w:val="lef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十一</w:t>
      </w:r>
      <w:r>
        <w:rPr>
          <w:rFonts w:hint="eastAsia" w:ascii="仿宋_GB2312" w:eastAsia="仿宋_GB2312"/>
          <w:sz w:val="32"/>
          <w:szCs w:val="32"/>
        </w:rPr>
        <w:t>）</w:t>
      </w:r>
      <w:r>
        <w:rPr>
          <w:rFonts w:hint="eastAsia" w:ascii="仿宋_GB2312" w:hAnsi="仿宋" w:eastAsia="仿宋_GB2312"/>
          <w:sz w:val="32"/>
          <w:szCs w:val="32"/>
          <w:lang w:eastAsia="zh-CN"/>
        </w:rPr>
        <w:t>完成市委、市政府交办的其他任务。</w:t>
      </w:r>
    </w:p>
    <w:p>
      <w:pPr>
        <w:ind w:firstLine="646"/>
        <w:rPr>
          <w:rFonts w:ascii="仿宋_GB2312" w:eastAsia="仿宋_GB2312"/>
          <w:sz w:val="32"/>
          <w:szCs w:val="32"/>
        </w:rPr>
      </w:pPr>
      <w:r>
        <w:rPr>
          <w:rFonts w:hint="eastAsia" w:ascii="仿宋_GB2312" w:eastAsia="仿宋_GB2312"/>
          <w:sz w:val="32"/>
          <w:szCs w:val="32"/>
        </w:rPr>
        <w:t>二、部门决算单位构成</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年度，纳入本部门决算汇编范围的独立核算单位共2个。</w:t>
      </w:r>
    </w:p>
    <w:p>
      <w:pPr>
        <w:spacing w:line="360" w:lineRule="auto"/>
        <w:ind w:firstLine="640" w:firstLineChars="200"/>
      </w:pPr>
      <w:r>
        <w:rPr>
          <w:rFonts w:hint="eastAsia" w:ascii="仿宋_GB2312" w:eastAsia="仿宋_GB2312"/>
          <w:sz w:val="32"/>
          <w:szCs w:val="32"/>
        </w:rPr>
        <w:t>（一）行政机关单位：柳州市扶贫开发办公室。内部机构设置为</w:t>
      </w:r>
      <w:r>
        <w:rPr>
          <w:rFonts w:hint="eastAsia" w:ascii="仿宋_GB2312" w:eastAsia="仿宋_GB2312"/>
          <w:sz w:val="32"/>
          <w:szCs w:val="32"/>
          <w:lang w:val="en-US" w:eastAsia="zh-CN"/>
        </w:rPr>
        <w:t>5</w:t>
      </w:r>
      <w:r>
        <w:rPr>
          <w:rFonts w:hint="eastAsia" w:ascii="仿宋_GB2312" w:eastAsia="仿宋_GB2312"/>
          <w:sz w:val="32"/>
          <w:szCs w:val="32"/>
        </w:rPr>
        <w:t>个：综合科、资金项目科、社会扶贫科、</w:t>
      </w:r>
      <w:r>
        <w:rPr>
          <w:rFonts w:hint="eastAsia" w:ascii="仿宋_GB2312" w:hAnsi="华文仿宋" w:eastAsia="仿宋_GB2312"/>
          <w:color w:val="000000"/>
          <w:sz w:val="32"/>
          <w:szCs w:val="32"/>
          <w:lang w:eastAsia="zh-CN"/>
        </w:rPr>
        <w:t>政研培训科、</w:t>
      </w:r>
      <w:r>
        <w:rPr>
          <w:rFonts w:hint="eastAsia" w:ascii="仿宋_GB2312" w:eastAsia="仿宋_GB2312"/>
          <w:sz w:val="32"/>
          <w:szCs w:val="32"/>
        </w:rPr>
        <w:t>考核督查科；</w:t>
      </w:r>
      <w:r>
        <w:rPr>
          <w:rFonts w:hint="eastAsia" w:ascii="仿宋_GB2312" w:hAnsi="华文仿宋" w:eastAsia="仿宋_GB2312"/>
          <w:color w:val="000000"/>
          <w:sz w:val="32"/>
          <w:szCs w:val="32"/>
        </w:rPr>
        <w:t>编制1</w:t>
      </w:r>
      <w:r>
        <w:rPr>
          <w:rFonts w:hint="eastAsia" w:ascii="仿宋_GB2312" w:hAnsi="华文仿宋" w:eastAsia="仿宋_GB2312"/>
          <w:color w:val="000000"/>
          <w:sz w:val="32"/>
          <w:szCs w:val="32"/>
          <w:lang w:val="en-US" w:eastAsia="zh-CN"/>
        </w:rPr>
        <w:t>8</w:t>
      </w:r>
      <w:r>
        <w:rPr>
          <w:rFonts w:hint="eastAsia" w:ascii="仿宋_GB2312" w:hAnsi="华文仿宋" w:eastAsia="仿宋_GB2312"/>
          <w:color w:val="000000"/>
          <w:sz w:val="32"/>
          <w:szCs w:val="32"/>
        </w:rPr>
        <w:t>人，其中：行政编制1</w:t>
      </w:r>
      <w:r>
        <w:rPr>
          <w:rFonts w:hint="eastAsia" w:ascii="仿宋_GB2312" w:hAnsi="华文仿宋" w:eastAsia="仿宋_GB2312"/>
          <w:color w:val="000000"/>
          <w:sz w:val="32"/>
          <w:szCs w:val="32"/>
          <w:lang w:val="en-US" w:eastAsia="zh-CN"/>
        </w:rPr>
        <w:t>6</w:t>
      </w:r>
      <w:r>
        <w:rPr>
          <w:rFonts w:hint="eastAsia" w:ascii="仿宋_GB2312" w:hAnsi="华文仿宋" w:eastAsia="仿宋_GB2312"/>
          <w:color w:val="000000"/>
          <w:sz w:val="32"/>
          <w:szCs w:val="32"/>
        </w:rPr>
        <w:t>人，工勤编制2人</w:t>
      </w:r>
      <w:r>
        <w:rPr>
          <w:rFonts w:hint="eastAsia" w:ascii="仿宋_GB2312" w:eastAsia="仿宋_GB2312"/>
          <w:sz w:val="32"/>
          <w:szCs w:val="32"/>
          <w:lang w:eastAsia="zh-CN"/>
        </w:rPr>
        <w:t>；</w:t>
      </w:r>
      <w:r>
        <w:rPr>
          <w:rFonts w:hint="eastAsia" w:ascii="仿宋_GB2312" w:eastAsia="仿宋_GB2312"/>
          <w:sz w:val="32"/>
          <w:szCs w:val="32"/>
        </w:rPr>
        <w:t>实有在编人数1</w:t>
      </w:r>
      <w:r>
        <w:rPr>
          <w:rFonts w:hint="eastAsia" w:ascii="仿宋_GB2312" w:eastAsia="仿宋_GB2312"/>
          <w:sz w:val="32"/>
          <w:szCs w:val="32"/>
          <w:lang w:val="en-US" w:eastAsia="zh-CN"/>
        </w:rPr>
        <w:t>7</w:t>
      </w:r>
      <w:r>
        <w:rPr>
          <w:rFonts w:hint="eastAsia" w:ascii="仿宋_GB2312" w:eastAsia="仿宋_GB2312"/>
          <w:sz w:val="32"/>
          <w:szCs w:val="32"/>
        </w:rPr>
        <w:t>人；聘用人员控制数6人，实有聘用人数6人。</w:t>
      </w:r>
    </w:p>
    <w:p>
      <w:pPr>
        <w:ind w:firstLine="645"/>
        <w:rPr>
          <w:rFonts w:ascii="仿宋_GB2312" w:eastAsia="仿宋_GB2312"/>
          <w:sz w:val="32"/>
          <w:szCs w:val="32"/>
        </w:rPr>
      </w:pPr>
      <w:r>
        <w:rPr>
          <w:rFonts w:hint="eastAsia" w:ascii="仿宋_GB2312" w:eastAsia="仿宋_GB2312"/>
          <w:sz w:val="32"/>
          <w:szCs w:val="32"/>
        </w:rPr>
        <w:t>（二）全额拨款事业单位：柳州市扶贫开发综合服务中心。事业单位编制12人，实有在编人数12人；聘用人员控制数</w:t>
      </w:r>
      <w:r>
        <w:rPr>
          <w:rFonts w:hint="eastAsia" w:ascii="仿宋_GB2312" w:eastAsia="仿宋_GB2312"/>
          <w:sz w:val="32"/>
          <w:szCs w:val="32"/>
          <w:lang w:val="en-US" w:eastAsia="zh-CN"/>
        </w:rPr>
        <w:t>6</w:t>
      </w:r>
      <w:r>
        <w:rPr>
          <w:rFonts w:hint="eastAsia" w:ascii="仿宋_GB2312" w:eastAsia="仿宋_GB2312"/>
          <w:sz w:val="32"/>
          <w:szCs w:val="32"/>
        </w:rPr>
        <w:t>人，实有聘用人数</w:t>
      </w:r>
      <w:r>
        <w:rPr>
          <w:rFonts w:hint="eastAsia" w:ascii="仿宋_GB2312" w:eastAsia="仿宋_GB2312"/>
          <w:sz w:val="32"/>
          <w:szCs w:val="32"/>
          <w:lang w:val="en-US" w:eastAsia="zh-CN"/>
        </w:rPr>
        <w:t>6</w:t>
      </w:r>
      <w:r>
        <w:rPr>
          <w:rFonts w:hint="eastAsia" w:ascii="仿宋_GB2312" w:eastAsia="仿宋_GB2312"/>
          <w:sz w:val="32"/>
          <w:szCs w:val="32"/>
        </w:rPr>
        <w:t>人。</w:t>
      </w:r>
    </w:p>
    <w:p>
      <w:pPr>
        <w:jc w:val="both"/>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2020年部门决算报表</w:t>
      </w:r>
    </w:p>
    <w:p>
      <w:pPr>
        <w:spacing w:line="360" w:lineRule="auto"/>
        <w:ind w:firstLine="640" w:firstLineChars="200"/>
        <w:jc w:val="both"/>
        <w:rPr>
          <w:rFonts w:ascii="仿宋_GB2312" w:eastAsia="仿宋_GB2312"/>
          <w:sz w:val="32"/>
          <w:szCs w:val="32"/>
        </w:rPr>
      </w:pPr>
      <w:r>
        <w:rPr>
          <w:rFonts w:hint="eastAsia" w:ascii="仿宋_GB2312" w:eastAsia="仿宋_GB2312"/>
          <w:sz w:val="32"/>
          <w:szCs w:val="32"/>
        </w:rPr>
        <w:t>详见附件：柳州市扶贫开发办公室20</w:t>
      </w:r>
      <w:r>
        <w:rPr>
          <w:rFonts w:hint="eastAsia" w:ascii="仿宋_GB2312" w:eastAsia="仿宋_GB2312"/>
          <w:sz w:val="32"/>
          <w:szCs w:val="32"/>
          <w:lang w:val="en-US" w:eastAsia="zh-CN"/>
        </w:rPr>
        <w:t>20</w:t>
      </w:r>
      <w:r>
        <w:rPr>
          <w:rFonts w:hint="eastAsia" w:ascii="仿宋_GB2312" w:eastAsia="仿宋_GB2312"/>
          <w:sz w:val="32"/>
          <w:szCs w:val="32"/>
        </w:rPr>
        <w:t>年部门决算公开表。</w:t>
      </w:r>
    </w:p>
    <w:p>
      <w:pPr>
        <w:ind w:firstLine="643" w:firstLineChars="200"/>
        <w:rPr>
          <w:rFonts w:hint="eastAsia" w:ascii="仿宋_GB2312" w:hAnsi="黑体" w:eastAsia="仿宋_GB2312"/>
          <w:b/>
          <w:sz w:val="32"/>
          <w:szCs w:val="32"/>
        </w:rPr>
      </w:pPr>
    </w:p>
    <w:p>
      <w:pPr>
        <w:ind w:firstLine="643" w:firstLineChars="200"/>
        <w:jc w:val="both"/>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柳州市扶贫开发办公室</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2020年度收入总计1663.93万元，支出总计1663.93万元，与2019年相比，收、支分别</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135.71万元</w:t>
      </w:r>
      <w:r>
        <w:rPr>
          <w:rFonts w:hint="eastAsia" w:ascii="仿宋_GB2312" w:eastAsia="仿宋_GB2312" w:cs="仿宋_GB2312"/>
          <w:bCs/>
          <w:kern w:val="0"/>
          <w:sz w:val="32"/>
          <w:szCs w:val="32"/>
        </w:rPr>
        <w:t>；分别</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7.54</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本年收入总计1595.37万元 ，其中：一般公共预算财政拨款收入1595.37万元；占比</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三</w:t>
      </w:r>
      <w:r>
        <w:rPr>
          <w:rFonts w:hint="eastAsia" w:ascii="仿宋_GB2312" w:eastAsia="仿宋_GB2312" w:cs="仿宋_GB2312"/>
          <w:b/>
          <w:kern w:val="0"/>
          <w:sz w:val="32"/>
          <w:szCs w:val="32"/>
        </w:rPr>
        <w:t>、</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本年支出合计1595.37万元，其中：基本支出644.8万元，占</w:t>
      </w:r>
      <w:r>
        <w:rPr>
          <w:rFonts w:hint="eastAsia" w:ascii="仿宋_GB2312" w:eastAsia="仿宋_GB2312" w:cs="仿宋_GB2312"/>
          <w:bCs/>
          <w:kern w:val="0"/>
          <w:sz w:val="32"/>
          <w:szCs w:val="32"/>
          <w:lang w:val="en-US" w:eastAsia="zh-CN"/>
        </w:rPr>
        <w:t>40.42</w:t>
      </w:r>
      <w:r>
        <w:rPr>
          <w:rFonts w:hint="eastAsia" w:ascii="仿宋_GB2312" w:eastAsia="仿宋_GB2312" w:cs="仿宋_GB2312"/>
          <w:bCs/>
          <w:kern w:val="0"/>
          <w:sz w:val="32"/>
          <w:szCs w:val="32"/>
        </w:rPr>
        <w:t>%；项目支出950.57万元， 占</w:t>
      </w:r>
      <w:r>
        <w:rPr>
          <w:rFonts w:hint="eastAsia" w:ascii="仿宋_GB2312" w:eastAsia="仿宋_GB2312" w:cs="仿宋_GB2312"/>
          <w:bCs/>
          <w:kern w:val="0"/>
          <w:sz w:val="32"/>
          <w:szCs w:val="32"/>
          <w:lang w:val="en-US" w:eastAsia="zh-CN"/>
        </w:rPr>
        <w:t>59.58</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本部门</w:t>
      </w:r>
      <w:r>
        <w:rPr>
          <w:rFonts w:hint="eastAsia" w:ascii="仿宋_GB2312" w:eastAsia="仿宋_GB2312" w:cs="仿宋_GB2312"/>
          <w:bCs/>
          <w:kern w:val="0"/>
          <w:sz w:val="32"/>
          <w:szCs w:val="32"/>
          <w:lang w:eastAsia="zh-CN"/>
        </w:rPr>
        <w:t>20</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年度财政拨款收</w:t>
      </w:r>
      <w:r>
        <w:rPr>
          <w:rFonts w:hint="eastAsia" w:ascii="仿宋_GB2312" w:eastAsia="仿宋_GB2312" w:cs="仿宋_GB2312"/>
          <w:bCs/>
          <w:kern w:val="0"/>
          <w:sz w:val="32"/>
          <w:szCs w:val="32"/>
          <w:lang w:eastAsia="zh-CN"/>
        </w:rPr>
        <w:t>入</w:t>
      </w:r>
      <w:r>
        <w:rPr>
          <w:rFonts w:hint="eastAsia" w:ascii="仿宋_GB2312" w:eastAsia="仿宋_GB2312" w:cs="仿宋_GB2312"/>
          <w:bCs/>
          <w:kern w:val="0"/>
          <w:sz w:val="32"/>
          <w:szCs w:val="32"/>
        </w:rPr>
        <w:t>总决算1595.37万元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与</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年相比，财政拨款</w:t>
      </w:r>
      <w:r>
        <w:rPr>
          <w:rFonts w:hint="eastAsia" w:ascii="仿宋_GB2312" w:eastAsia="仿宋_GB2312"/>
          <w:sz w:val="32"/>
          <w:szCs w:val="32"/>
        </w:rPr>
        <w:t>收入总计</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100.01</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5.9</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r>
        <w:rPr>
          <w:rFonts w:hint="eastAsia" w:ascii="仿宋_GB2312" w:eastAsia="仿宋_GB2312"/>
          <w:sz w:val="32"/>
          <w:szCs w:val="32"/>
        </w:rPr>
        <w:t>支出总决算</w:t>
      </w:r>
      <w:r>
        <w:rPr>
          <w:rFonts w:hint="eastAsia" w:ascii="仿宋_GB2312" w:eastAsia="仿宋_GB2312" w:cs="仿宋_GB2312"/>
          <w:bCs/>
          <w:kern w:val="0"/>
          <w:sz w:val="32"/>
          <w:szCs w:val="32"/>
        </w:rPr>
        <w:t>1595.37万元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与</w:t>
      </w:r>
      <w:r>
        <w:rPr>
          <w:rFonts w:hint="eastAsia" w:ascii="仿宋_GB2312" w:eastAsia="仿宋_GB2312" w:cs="仿宋_GB2312"/>
          <w:bCs/>
          <w:kern w:val="0"/>
          <w:sz w:val="32"/>
          <w:szCs w:val="32"/>
          <w:lang w:eastAsia="zh-CN"/>
        </w:rPr>
        <w:t>201</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年相比，财政拨款支</w:t>
      </w:r>
      <w:r>
        <w:rPr>
          <w:rFonts w:hint="eastAsia" w:ascii="仿宋_GB2312" w:eastAsia="仿宋_GB2312" w:cs="仿宋_GB2312"/>
          <w:bCs/>
          <w:kern w:val="0"/>
          <w:sz w:val="32"/>
          <w:szCs w:val="32"/>
          <w:lang w:eastAsia="zh-CN"/>
        </w:rPr>
        <w:t>出</w:t>
      </w:r>
      <w:r>
        <w:rPr>
          <w:rFonts w:hint="eastAsia" w:ascii="仿宋_GB2312" w:eastAsia="仿宋_GB2312" w:cs="仿宋_GB2312"/>
          <w:bCs/>
          <w:kern w:val="0"/>
          <w:sz w:val="32"/>
          <w:szCs w:val="32"/>
        </w:rPr>
        <w:t>总计</w:t>
      </w:r>
      <w:r>
        <w:rPr>
          <w:rFonts w:hint="eastAsia" w:ascii="仿宋_GB2312" w:eastAsia="仿宋_GB2312" w:cs="仿宋_GB2312"/>
          <w:bCs/>
          <w:kern w:val="0"/>
          <w:sz w:val="32"/>
          <w:szCs w:val="32"/>
          <w:lang w:eastAsia="zh-CN"/>
        </w:rPr>
        <w:t>减少</w:t>
      </w:r>
      <w:r>
        <w:rPr>
          <w:rFonts w:hint="eastAsia" w:ascii="仿宋_GB2312" w:eastAsia="仿宋_GB2312" w:cs="仿宋_GB2312"/>
          <w:bCs/>
          <w:kern w:val="0"/>
          <w:sz w:val="32"/>
          <w:szCs w:val="32"/>
          <w:lang w:val="en-US" w:eastAsia="zh-CN"/>
        </w:rPr>
        <w:t>94.91万元，</w:t>
      </w:r>
      <w:r>
        <w:rPr>
          <w:rFonts w:hint="eastAsia" w:ascii="仿宋_GB2312" w:eastAsia="仿宋_GB2312" w:cs="仿宋_GB2312"/>
          <w:bCs/>
          <w:kern w:val="0"/>
          <w:sz w:val="32"/>
          <w:szCs w:val="32"/>
          <w:lang w:eastAsia="zh-CN"/>
        </w:rPr>
        <w:t>下降</w:t>
      </w:r>
      <w:r>
        <w:rPr>
          <w:rFonts w:hint="eastAsia" w:ascii="仿宋_GB2312" w:eastAsia="仿宋_GB2312" w:cs="仿宋_GB2312"/>
          <w:bCs/>
          <w:kern w:val="0"/>
          <w:sz w:val="32"/>
          <w:szCs w:val="32"/>
          <w:lang w:val="en-US" w:eastAsia="zh-CN"/>
        </w:rPr>
        <w:t>5.62%</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部门2020年度财政拨款支出1595.37万元，占本年支出合计的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%。与2019年相比，财政拨款支出减</w:t>
      </w:r>
      <w:r>
        <w:rPr>
          <w:rFonts w:hint="eastAsia" w:ascii="仿宋_GB2312" w:eastAsia="仿宋_GB2312" w:cs="仿宋_GB2312"/>
          <w:bCs/>
          <w:kern w:val="0"/>
          <w:sz w:val="32"/>
          <w:szCs w:val="32"/>
          <w:lang w:eastAsia="zh-CN"/>
        </w:rPr>
        <w:t>少</w:t>
      </w:r>
      <w:r>
        <w:rPr>
          <w:rFonts w:hint="eastAsia" w:ascii="仿宋_GB2312" w:eastAsia="仿宋_GB2312" w:cs="仿宋_GB2312"/>
          <w:bCs/>
          <w:kern w:val="0"/>
          <w:sz w:val="32"/>
          <w:szCs w:val="32"/>
          <w:lang w:val="en-US" w:eastAsia="zh-CN"/>
        </w:rPr>
        <w:t>94.91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5.62</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 xml:space="preserve">    2020年度财政拨款支出1595.37万元，主要用于以下方面：社会保障和就业支出103.5万元，占</w:t>
      </w:r>
      <w:r>
        <w:rPr>
          <w:rFonts w:hint="eastAsia" w:ascii="仿宋_GB2312" w:eastAsia="仿宋_GB2312" w:cs="仿宋_GB2312"/>
          <w:bCs/>
          <w:kern w:val="0"/>
          <w:sz w:val="32"/>
          <w:szCs w:val="32"/>
          <w:lang w:val="en-US" w:eastAsia="zh-CN"/>
        </w:rPr>
        <w:t>6.49</w:t>
      </w:r>
      <w:r>
        <w:rPr>
          <w:rFonts w:hint="eastAsia" w:ascii="仿宋_GB2312" w:eastAsia="仿宋_GB2312" w:cs="仿宋_GB2312"/>
          <w:bCs/>
          <w:kern w:val="0"/>
          <w:sz w:val="32"/>
          <w:szCs w:val="32"/>
        </w:rPr>
        <w:t>%；卫生健康支出50.18</w:t>
      </w:r>
      <w:r>
        <w:rPr>
          <w:rFonts w:hint="eastAsia" w:ascii="仿宋_GB2312" w:eastAsia="仿宋_GB2312" w:cs="仿宋_GB2312"/>
          <w:bCs/>
          <w:kern w:val="0"/>
          <w:sz w:val="32"/>
          <w:szCs w:val="32"/>
          <w:lang w:eastAsia="zh-CN"/>
        </w:rPr>
        <w:t>万元，占</w:t>
      </w:r>
      <w:r>
        <w:rPr>
          <w:rFonts w:hint="eastAsia" w:ascii="仿宋_GB2312" w:eastAsia="仿宋_GB2312" w:cs="仿宋_GB2312"/>
          <w:bCs/>
          <w:kern w:val="0"/>
          <w:sz w:val="32"/>
          <w:szCs w:val="32"/>
          <w:lang w:val="en-US" w:eastAsia="zh-CN"/>
        </w:rPr>
        <w:t>3.15%；</w:t>
      </w:r>
      <w:r>
        <w:rPr>
          <w:rFonts w:hint="eastAsia" w:ascii="仿宋_GB2312" w:eastAsia="仿宋_GB2312" w:cs="仿宋_GB2312"/>
          <w:bCs/>
          <w:kern w:val="0"/>
          <w:sz w:val="32"/>
          <w:szCs w:val="32"/>
        </w:rPr>
        <w:t>农林水支出1393.54万元，占</w:t>
      </w:r>
      <w:r>
        <w:rPr>
          <w:rFonts w:hint="eastAsia" w:ascii="仿宋_GB2312" w:eastAsia="仿宋_GB2312" w:cs="仿宋_GB2312"/>
          <w:bCs/>
          <w:kern w:val="0"/>
          <w:sz w:val="32"/>
          <w:szCs w:val="32"/>
          <w:lang w:val="en-US" w:eastAsia="zh-CN"/>
        </w:rPr>
        <w:t>87.35</w:t>
      </w:r>
      <w:r>
        <w:rPr>
          <w:rFonts w:hint="eastAsia" w:ascii="仿宋_GB2312" w:eastAsia="仿宋_GB2312" w:cs="仿宋_GB2312"/>
          <w:bCs/>
          <w:kern w:val="0"/>
          <w:sz w:val="32"/>
          <w:szCs w:val="32"/>
        </w:rPr>
        <w:t>%； 住房保障支出48.15万元，占</w:t>
      </w:r>
      <w:r>
        <w:rPr>
          <w:rFonts w:hint="eastAsia" w:ascii="仿宋_GB2312" w:eastAsia="仿宋_GB2312" w:cs="仿宋_GB2312"/>
          <w:bCs/>
          <w:kern w:val="0"/>
          <w:sz w:val="32"/>
          <w:szCs w:val="32"/>
          <w:lang w:val="en-US" w:eastAsia="zh-CN"/>
        </w:rPr>
        <w:t>3.02</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hint="eastAsia" w:ascii="仿宋_GB2312" w:eastAsia="仿宋_GB2312"/>
          <w:sz w:val="32"/>
          <w:szCs w:val="32"/>
        </w:rPr>
      </w:pPr>
      <w:r>
        <w:rPr>
          <w:rFonts w:hint="eastAsia" w:ascii="仿宋_GB2312" w:eastAsia="仿宋_GB2312" w:cs="仿宋_GB2312"/>
          <w:bCs/>
          <w:kern w:val="0"/>
          <w:sz w:val="32"/>
          <w:szCs w:val="32"/>
        </w:rPr>
        <w:t xml:space="preserve"> 2020年度财政拨款支出年初预算为</w:t>
      </w:r>
      <w:r>
        <w:rPr>
          <w:rFonts w:hint="eastAsia" w:ascii="仿宋_GB2312" w:eastAsia="仿宋_GB2312" w:cs="仿宋_GB2312"/>
          <w:bCs/>
          <w:kern w:val="0"/>
          <w:sz w:val="32"/>
          <w:szCs w:val="32"/>
          <w:lang w:val="en-US" w:eastAsia="zh-CN"/>
        </w:rPr>
        <w:t>889.95</w:t>
      </w:r>
      <w:r>
        <w:rPr>
          <w:rFonts w:hint="eastAsia" w:ascii="仿宋_GB2312" w:eastAsia="仿宋_GB2312" w:cs="仿宋_GB2312"/>
          <w:bCs/>
          <w:kern w:val="0"/>
          <w:sz w:val="32"/>
          <w:szCs w:val="32"/>
        </w:rPr>
        <w:t>万元，支出决算为1595.37万元，完成年初预算的</w:t>
      </w:r>
      <w:r>
        <w:rPr>
          <w:rFonts w:hint="eastAsia" w:ascii="仿宋_GB2312" w:eastAsia="仿宋_GB2312" w:cs="仿宋_GB2312"/>
          <w:bCs/>
          <w:kern w:val="0"/>
          <w:sz w:val="32"/>
          <w:szCs w:val="32"/>
          <w:lang w:val="en-US" w:eastAsia="zh-CN"/>
        </w:rPr>
        <w:t>179.27</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是年中增加</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年柳州市结对帮扶河池市罗城、都安两县财政扶贫资金600万元</w:t>
      </w:r>
      <w:r>
        <w:rPr>
          <w:rFonts w:hint="eastAsia" w:ascii="仿宋_GB2312" w:eastAsia="仿宋_GB2312"/>
          <w:sz w:val="32"/>
          <w:szCs w:val="32"/>
          <w:lang w:eastAsia="zh-CN"/>
        </w:rPr>
        <w:t>及补发增人增资等相关经费。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行政单位离退休</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10.9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12.87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118.07</w:t>
      </w:r>
      <w:r>
        <w:rPr>
          <w:rFonts w:hint="eastAsia" w:ascii="仿宋_GB2312" w:eastAsia="仿宋_GB2312" w:cs="仿宋_GB2312"/>
          <w:bCs/>
          <w:kern w:val="0"/>
          <w:sz w:val="32"/>
          <w:szCs w:val="32"/>
        </w:rPr>
        <w:t>%。决算数大于预算数的主要原因是</w:t>
      </w:r>
      <w:r>
        <w:rPr>
          <w:rFonts w:hint="eastAsia" w:ascii="仿宋_GB2312" w:eastAsia="仿宋_GB2312" w:cs="仿宋_GB2312"/>
          <w:bCs/>
          <w:kern w:val="0"/>
          <w:sz w:val="32"/>
          <w:szCs w:val="32"/>
          <w:lang w:val="en-US" w:eastAsia="zh-CN"/>
        </w:rPr>
        <w:t>2020年1月新增一名退休人员。</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机关事业单位基本养老保险缴费支出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53.76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63.75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118.58</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是</w:t>
      </w:r>
      <w:r>
        <w:rPr>
          <w:rFonts w:hint="eastAsia" w:ascii="仿宋_GB2312" w:eastAsia="仿宋_GB2312" w:cs="仿宋_GB2312"/>
          <w:bCs/>
          <w:kern w:val="0"/>
          <w:sz w:val="32"/>
          <w:szCs w:val="32"/>
          <w:lang w:eastAsia="zh-CN"/>
        </w:rPr>
        <w:t>补机关</w:t>
      </w:r>
      <w:r>
        <w:rPr>
          <w:rFonts w:hint="eastAsia" w:ascii="仿宋_GB2312" w:eastAsia="仿宋_GB2312" w:cs="仿宋_GB2312"/>
          <w:bCs/>
          <w:kern w:val="0"/>
          <w:sz w:val="32"/>
          <w:szCs w:val="32"/>
          <w:lang w:val="en-US" w:eastAsia="zh-CN"/>
        </w:rPr>
        <w:t>2019年增人增资养老保险，二是补2018、2019年二层事业单位绩效工资总量差额部分养老保险</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3.社会保障和就业支出</w:t>
      </w:r>
      <w:r>
        <w:rPr>
          <w:rFonts w:hint="eastAsia" w:ascii="仿宋_GB2312" w:eastAsia="仿宋_GB2312" w:cs="仿宋_GB2312"/>
          <w:bCs/>
          <w:kern w:val="0"/>
          <w:sz w:val="32"/>
          <w:szCs w:val="32"/>
          <w:lang w:eastAsia="zh-CN"/>
        </w:rPr>
        <w:t>（类）行政事业单位养老支出（款）</w:t>
      </w:r>
      <w:r>
        <w:rPr>
          <w:rFonts w:hint="eastAsia" w:ascii="仿宋_GB2312" w:eastAsia="仿宋_GB2312" w:cs="仿宋_GB2312"/>
          <w:bCs/>
          <w:kern w:val="0"/>
          <w:sz w:val="32"/>
          <w:szCs w:val="32"/>
        </w:rPr>
        <w:t>机关事业单位职业年金缴费支出</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26.88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26.88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4.卫生健康支出（类）行政事业单位医疗（款）</w:t>
      </w:r>
      <w:r>
        <w:rPr>
          <w:rFonts w:hint="eastAsia" w:ascii="仿宋_GB2312" w:eastAsia="仿宋_GB2312" w:cs="仿宋_GB2312"/>
          <w:bCs/>
          <w:kern w:val="0"/>
          <w:sz w:val="32"/>
          <w:szCs w:val="32"/>
        </w:rPr>
        <w:t>行政单位医疗</w:t>
      </w:r>
      <w:r>
        <w:rPr>
          <w:rFonts w:hint="eastAsia" w:ascii="仿宋_GB2312" w:eastAsia="仿宋_GB2312" w:cs="仿宋_GB2312"/>
          <w:bCs/>
          <w:kern w:val="0"/>
          <w:sz w:val="32"/>
          <w:szCs w:val="32"/>
          <w:lang w:eastAsia="zh-CN"/>
        </w:rPr>
        <w:t>（项）。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17.47万元，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18.57万元，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106.3%。</w:t>
      </w:r>
      <w:r>
        <w:rPr>
          <w:rFonts w:hint="eastAsia" w:ascii="仿宋_GB2312" w:eastAsia="仿宋_GB2312" w:cs="仿宋_GB2312"/>
          <w:bCs/>
          <w:kern w:val="0"/>
          <w:sz w:val="32"/>
          <w:szCs w:val="32"/>
        </w:rPr>
        <w:t>决算数大于预算数的主要原因</w:t>
      </w:r>
      <w:r>
        <w:rPr>
          <w:rFonts w:hint="eastAsia" w:ascii="仿宋_GB2312" w:eastAsia="仿宋_GB2312" w:cs="仿宋_GB2312"/>
          <w:bCs/>
          <w:kern w:val="0"/>
          <w:sz w:val="32"/>
          <w:szCs w:val="32"/>
          <w:lang w:eastAsia="zh-CN"/>
        </w:rPr>
        <w:t>是补机关</w:t>
      </w:r>
      <w:r>
        <w:rPr>
          <w:rFonts w:hint="eastAsia" w:ascii="仿宋_GB2312" w:eastAsia="仿宋_GB2312" w:cs="仿宋_GB2312"/>
          <w:bCs/>
          <w:kern w:val="0"/>
          <w:sz w:val="32"/>
          <w:szCs w:val="32"/>
          <w:lang w:val="en-US" w:eastAsia="zh-CN"/>
        </w:rPr>
        <w:t>2019年增人增资医疗保险。</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5.卫生健康支出（类）行政事业单位医疗（款）事业单位医疗（项）。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7.82万元，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11.3万元，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144.5%。决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w:t>
      </w:r>
      <w:r>
        <w:rPr>
          <w:rFonts w:hint="eastAsia" w:ascii="仿宋_GB2312" w:eastAsia="仿宋_GB2312" w:cs="仿宋_GB2312"/>
          <w:bCs/>
          <w:kern w:val="0"/>
          <w:sz w:val="32"/>
          <w:szCs w:val="32"/>
          <w:lang w:val="en-US" w:eastAsia="zh-CN"/>
        </w:rPr>
        <w:t>补2018、2019年二层事业单位绩效工资总量差额部分医疗保险。</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6.卫生健康支出（类）行政事业单位医疗（款）公务员医疗补助（项）。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19.87万元，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20.31万元，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102.21%。决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是补机关2020医保年度（202007-202106）公务员医疗补助差额。</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7.农林水支出（类）扶贫（款）行政运行（项）。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264.85万元，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308.42万元，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116.45%。决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是补机关</w:t>
      </w:r>
      <w:r>
        <w:rPr>
          <w:rFonts w:hint="eastAsia" w:ascii="仿宋_GB2312" w:eastAsia="仿宋_GB2312" w:cs="仿宋_GB2312"/>
          <w:bCs/>
          <w:kern w:val="0"/>
          <w:sz w:val="32"/>
          <w:szCs w:val="32"/>
          <w:lang w:val="en-US" w:eastAsia="zh-CN"/>
        </w:rPr>
        <w:t>2019年绩效考评奖励。</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8.农林水支出（类）扶贫（款）一般行政管理事务（项）。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165.83万元，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152.62万元，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92.03%。决</w:t>
      </w:r>
      <w:r>
        <w:rPr>
          <w:rFonts w:hint="eastAsia" w:ascii="仿宋_GB2312" w:eastAsia="仿宋_GB2312" w:cs="仿宋_GB2312"/>
          <w:bCs/>
          <w:kern w:val="0"/>
          <w:sz w:val="32"/>
          <w:szCs w:val="32"/>
        </w:rPr>
        <w:t>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eastAsia="zh-CN"/>
        </w:rPr>
        <w:t>是年末结余办公楼租赁费用和聘用人员经费。</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lang w:val="en-US" w:eastAsia="zh-CN"/>
        </w:rPr>
        <w:t>9.农林水支出（类）扶贫（款）扶贫事业机构（项）。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156.1万元，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157.91万元，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101.16%。决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是2020年人员变动经费预算。</w:t>
      </w:r>
    </w:p>
    <w:p>
      <w:pPr>
        <w:autoSpaceDE w:val="0"/>
        <w:autoSpaceDN w:val="0"/>
        <w:adjustRightInd w:val="0"/>
        <w:spacing w:line="580" w:lineRule="exact"/>
        <w:ind w:firstLine="640" w:firstLineChars="200"/>
        <w:jc w:val="left"/>
        <w:rPr>
          <w:rFonts w:hint="eastAsia" w:ascii="仿宋_GB2312" w:eastAsia="仿宋_GB2312"/>
          <w:sz w:val="32"/>
          <w:szCs w:val="32"/>
          <w:lang w:val="en-US" w:eastAsia="zh-CN"/>
        </w:rPr>
      </w:pPr>
      <w:r>
        <w:rPr>
          <w:rFonts w:hint="eastAsia" w:ascii="仿宋_GB2312" w:eastAsia="仿宋_GB2312" w:cs="仿宋_GB2312"/>
          <w:bCs/>
          <w:kern w:val="0"/>
          <w:sz w:val="32"/>
          <w:szCs w:val="32"/>
          <w:lang w:val="en-US" w:eastAsia="zh-CN"/>
        </w:rPr>
        <w:t>10.农林水支出（类）扶贫（款）其他扶贫支出（项）。</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126.15万元，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774.59万元，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614.02%。决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是年</w:t>
      </w:r>
      <w:r>
        <w:rPr>
          <w:rFonts w:hint="eastAsia" w:ascii="仿宋_GB2312" w:eastAsia="仿宋_GB2312"/>
          <w:sz w:val="32"/>
          <w:szCs w:val="32"/>
          <w:lang w:eastAsia="zh-CN"/>
        </w:rPr>
        <w:t>中财政下达</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年柳州市结对帮扶河池市罗城、都安两县财政扶贫资金</w:t>
      </w:r>
      <w:r>
        <w:rPr>
          <w:rFonts w:hint="eastAsia" w:ascii="仿宋_GB2312" w:eastAsia="仿宋_GB2312"/>
          <w:sz w:val="32"/>
          <w:szCs w:val="32"/>
          <w:lang w:val="en-US" w:eastAsia="zh-CN"/>
        </w:rPr>
        <w:t>600万元</w:t>
      </w:r>
      <w:r>
        <w:rPr>
          <w:rFonts w:hint="eastAsia" w:ascii="仿宋_GB2312" w:eastAsia="仿宋_GB2312"/>
          <w:sz w:val="32"/>
          <w:szCs w:val="32"/>
          <w:lang w:eastAsia="zh-CN"/>
        </w:rPr>
        <w:t>补发增人增资等相关经费。</w:t>
      </w:r>
    </w:p>
    <w:p>
      <w:pPr>
        <w:autoSpaceDE w:val="0"/>
        <w:autoSpaceDN w:val="0"/>
        <w:adjustRightInd w:val="0"/>
        <w:spacing w:line="58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11.</w:t>
      </w:r>
      <w:r>
        <w:rPr>
          <w:rFonts w:hint="eastAsia" w:ascii="仿宋_GB2312" w:eastAsia="仿宋_GB2312"/>
          <w:sz w:val="32"/>
          <w:szCs w:val="32"/>
        </w:rPr>
        <w:t>住房保障（类）住房改革支出（款）住房公积金（项）</w:t>
      </w:r>
      <w:r>
        <w:rPr>
          <w:rFonts w:hint="eastAsia" w:ascii="仿宋_GB2312" w:eastAsia="仿宋_GB2312"/>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40.32万元，</w:t>
      </w:r>
      <w:r>
        <w:rPr>
          <w:rFonts w:hint="eastAsia" w:ascii="仿宋_GB2312" w:eastAsia="仿宋_GB2312" w:cs="仿宋_GB2312"/>
          <w:bCs/>
          <w:kern w:val="0"/>
          <w:sz w:val="32"/>
          <w:szCs w:val="32"/>
        </w:rPr>
        <w:t>支出决算为</w:t>
      </w:r>
      <w:r>
        <w:rPr>
          <w:rFonts w:hint="eastAsia" w:ascii="仿宋_GB2312" w:eastAsia="仿宋_GB2312" w:cs="仿宋_GB2312"/>
          <w:bCs/>
          <w:kern w:val="0"/>
          <w:sz w:val="32"/>
          <w:szCs w:val="32"/>
          <w:lang w:val="en-US" w:eastAsia="zh-CN"/>
        </w:rPr>
        <w:t>48.15万元，</w:t>
      </w:r>
      <w:r>
        <w:rPr>
          <w:rFonts w:hint="eastAsia" w:ascii="仿宋_GB2312" w:eastAsia="仿宋_GB2312" w:cs="仿宋_GB2312"/>
          <w:bCs/>
          <w:kern w:val="0"/>
          <w:sz w:val="32"/>
          <w:szCs w:val="32"/>
        </w:rPr>
        <w:t>完成年初预算的</w:t>
      </w:r>
      <w:r>
        <w:rPr>
          <w:rFonts w:hint="eastAsia" w:ascii="仿宋_GB2312" w:eastAsia="仿宋_GB2312" w:cs="仿宋_GB2312"/>
          <w:bCs/>
          <w:kern w:val="0"/>
          <w:sz w:val="32"/>
          <w:szCs w:val="32"/>
          <w:lang w:val="en-US" w:eastAsia="zh-CN"/>
        </w:rPr>
        <w:t>119.42%。决</w:t>
      </w:r>
      <w:r>
        <w:rPr>
          <w:rFonts w:hint="eastAsia" w:ascii="仿宋_GB2312" w:eastAsia="仿宋_GB2312" w:cs="仿宋_GB2312"/>
          <w:bCs/>
          <w:kern w:val="0"/>
          <w:sz w:val="32"/>
          <w:szCs w:val="32"/>
        </w:rPr>
        <w:t>算数大于预算数的主要原因</w:t>
      </w:r>
      <w:r>
        <w:rPr>
          <w:rFonts w:hint="eastAsia" w:ascii="仿宋_GB2312" w:eastAsia="仿宋_GB2312" w:cs="仿宋_GB2312"/>
          <w:bCs/>
          <w:kern w:val="0"/>
          <w:sz w:val="32"/>
          <w:szCs w:val="32"/>
          <w:lang w:eastAsia="zh-CN"/>
        </w:rPr>
        <w:t>是机关和二层的增人增资。</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2020年度财政拨款基本支出644.8万元，其中：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人员经费584.26万元，主要包括：基本工资、津贴补贴、 奖金、伙食补助费、绩效工资、机关事业单位基本养老保险缴费、职业年金缴费、职工基本医疗保险缴费</w:t>
      </w:r>
      <w:r>
        <w:rPr>
          <w:rFonts w:hint="eastAsia" w:ascii="仿宋_GB2312" w:eastAsia="仿宋_GB2312" w:cs="仿宋_GB2312"/>
          <w:bCs/>
          <w:kern w:val="0"/>
          <w:sz w:val="32"/>
          <w:szCs w:val="32"/>
          <w:lang w:eastAsia="zh-CN"/>
        </w:rPr>
        <w:t>、公务员医疗补助缴费、</w:t>
      </w:r>
      <w:r>
        <w:rPr>
          <w:rFonts w:hint="eastAsia" w:ascii="仿宋_GB2312" w:eastAsia="仿宋_GB2312" w:cs="仿宋_GB2312"/>
          <w:bCs/>
          <w:kern w:val="0"/>
          <w:sz w:val="32"/>
          <w:szCs w:val="32"/>
        </w:rPr>
        <w:t>其他社会保障缴费、退休费、住房公积金；</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60.54</w:t>
      </w:r>
      <w:r>
        <w:rPr>
          <w:rFonts w:hint="eastAsia" w:ascii="仿宋_GB2312" w:eastAsia="仿宋_GB2312" w:cs="仿宋_GB2312"/>
          <w:bCs/>
          <w:kern w:val="0"/>
          <w:sz w:val="32"/>
          <w:szCs w:val="32"/>
        </w:rPr>
        <w:t>万元，主要包括：办公费、印刷费、邮电费、差旅费、维修（护）费、会议费、培训费、公务接待费、工会经费、其他交通费用</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其他商品和服务支出</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2020 年度“三公”经费财政拨款支出预算为</w:t>
      </w:r>
      <w:r>
        <w:rPr>
          <w:rFonts w:hint="eastAsia" w:ascii="仿宋_GB2312" w:eastAsia="仿宋_GB2312" w:cs="仿宋_GB2312"/>
          <w:bCs/>
          <w:kern w:val="0"/>
          <w:sz w:val="32"/>
          <w:szCs w:val="32"/>
          <w:lang w:val="en-US" w:eastAsia="zh-CN"/>
        </w:rPr>
        <w:t>0.64</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21.88</w:t>
      </w:r>
      <w:r>
        <w:rPr>
          <w:rFonts w:hint="eastAsia" w:ascii="仿宋_GB2312" w:eastAsia="仿宋_GB2312" w:cs="仿宋_GB2312"/>
          <w:bCs/>
          <w:kern w:val="0"/>
          <w:sz w:val="32"/>
          <w:szCs w:val="32"/>
        </w:rPr>
        <w:t>%，其中：因公出国（境）费支出决算为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；公务用车购置及运行费支出决算为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接待</w:t>
      </w:r>
      <w:r>
        <w:rPr>
          <w:rFonts w:hint="eastAsia" w:ascii="仿宋_GB2312" w:eastAsia="仿宋_GB2312" w:cs="仿宋_GB2312"/>
          <w:bCs/>
          <w:kern w:val="0"/>
          <w:sz w:val="32"/>
          <w:szCs w:val="32"/>
          <w:lang w:val="en-US" w:eastAsia="zh-CN"/>
        </w:rPr>
        <w:t>18人次，</w:t>
      </w:r>
      <w:r>
        <w:rPr>
          <w:rFonts w:hint="eastAsia" w:ascii="仿宋_GB2312" w:eastAsia="仿宋_GB2312" w:cs="仿宋_GB2312"/>
          <w:bCs/>
          <w:kern w:val="0"/>
          <w:sz w:val="32"/>
          <w:szCs w:val="32"/>
        </w:rPr>
        <w:t>完成预算的</w:t>
      </w:r>
      <w:r>
        <w:rPr>
          <w:rFonts w:hint="eastAsia" w:ascii="仿宋_GB2312" w:eastAsia="仿宋_GB2312" w:cs="仿宋_GB2312"/>
          <w:bCs/>
          <w:kern w:val="0"/>
          <w:sz w:val="32"/>
          <w:szCs w:val="32"/>
          <w:lang w:val="en-US" w:eastAsia="zh-CN"/>
        </w:rPr>
        <w:t>21.88</w:t>
      </w:r>
      <w:r>
        <w:rPr>
          <w:rFonts w:hint="eastAsia" w:ascii="仿宋_GB2312" w:eastAsia="仿宋_GB2312" w:cs="仿宋_GB2312"/>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w:t>
      </w:r>
      <w:r>
        <w:rPr>
          <w:rFonts w:hint="eastAsia" w:ascii="仿宋_GB2312" w:eastAsia="仿宋_GB2312" w:cs="仿宋_GB2312"/>
          <w:bCs/>
          <w:kern w:val="0"/>
          <w:sz w:val="32"/>
          <w:szCs w:val="32"/>
          <w:lang w:val="en-US" w:eastAsia="zh-CN"/>
        </w:rPr>
        <w:t>11.35</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94.66</w:t>
      </w:r>
      <w:r>
        <w:rPr>
          <w:rFonts w:hint="eastAsia" w:ascii="仿宋_GB2312" w:eastAsia="仿宋_GB2312" w:cs="仿宋_GB2312"/>
          <w:bCs/>
          <w:kern w:val="0"/>
          <w:sz w:val="32"/>
          <w:szCs w:val="32"/>
        </w:rPr>
        <w:t>%，其中：</w:t>
      </w:r>
      <w:r>
        <w:rPr>
          <w:rFonts w:hint="eastAsia" w:ascii="仿宋_GB2312" w:eastAsia="仿宋_GB2312"/>
          <w:sz w:val="32"/>
          <w:szCs w:val="32"/>
        </w:rPr>
        <w:t>因公出国（境）费</w:t>
      </w:r>
      <w:r>
        <w:rPr>
          <w:rFonts w:hint="eastAsia" w:ascii="仿宋_GB2312" w:eastAsia="仿宋_GB2312"/>
          <w:sz w:val="32"/>
          <w:szCs w:val="32"/>
          <w:lang w:val="en-US" w:eastAsia="zh-CN"/>
        </w:rPr>
        <w:t>2019、2020年均</w:t>
      </w:r>
      <w:r>
        <w:rPr>
          <w:rFonts w:hint="eastAsia" w:ascii="仿宋_GB2312" w:eastAsia="仿宋_GB2312"/>
          <w:sz w:val="32"/>
          <w:szCs w:val="32"/>
        </w:rPr>
        <w:t>无支出决算</w:t>
      </w:r>
      <w:r>
        <w:rPr>
          <w:rFonts w:hint="eastAsia" w:ascii="仿宋_GB2312" w:eastAsia="仿宋_GB2312" w:cs="仿宋_GB2312"/>
          <w:bCs/>
          <w:kern w:val="0"/>
          <w:sz w:val="32"/>
          <w:szCs w:val="32"/>
        </w:rPr>
        <w:t>；公务用车购置及运行费支出决算减少</w:t>
      </w:r>
      <w:r>
        <w:rPr>
          <w:rFonts w:hint="eastAsia" w:ascii="仿宋_GB2312" w:eastAsia="仿宋_GB2312" w:cs="仿宋_GB2312"/>
          <w:bCs/>
          <w:kern w:val="0"/>
          <w:sz w:val="32"/>
          <w:szCs w:val="32"/>
          <w:lang w:val="en-US" w:eastAsia="zh-CN"/>
        </w:rPr>
        <w:t>11</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%；公务接待费支出决算减少</w:t>
      </w:r>
      <w:r>
        <w:rPr>
          <w:rFonts w:hint="eastAsia" w:ascii="仿宋_GB2312" w:eastAsia="仿宋_GB2312" w:cs="仿宋_GB2312"/>
          <w:bCs/>
          <w:kern w:val="0"/>
          <w:sz w:val="32"/>
          <w:szCs w:val="32"/>
          <w:lang w:val="en-US" w:eastAsia="zh-CN"/>
        </w:rPr>
        <w:t>0.85</w:t>
      </w:r>
      <w:r>
        <w:rPr>
          <w:rFonts w:hint="eastAsia" w:ascii="仿宋_GB2312" w:eastAsia="仿宋_GB2312" w:cs="仿宋_GB2312"/>
          <w:bCs/>
          <w:kern w:val="0"/>
          <w:sz w:val="32"/>
          <w:szCs w:val="32"/>
        </w:rPr>
        <w:t>万元，下降</w:t>
      </w:r>
      <w:r>
        <w:rPr>
          <w:rFonts w:hint="eastAsia" w:ascii="仿宋_GB2312" w:eastAsia="仿宋_GB2312" w:cs="仿宋_GB2312"/>
          <w:bCs/>
          <w:kern w:val="0"/>
          <w:sz w:val="32"/>
          <w:szCs w:val="32"/>
          <w:lang w:val="en-US" w:eastAsia="zh-CN"/>
        </w:rPr>
        <w:t>85.86</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公务用车购置及运行费支出减少的原因是</w:t>
      </w:r>
      <w:r>
        <w:rPr>
          <w:rFonts w:hint="eastAsia" w:ascii="仿宋_GB2312" w:eastAsia="仿宋_GB2312" w:cs="仿宋_GB2312"/>
          <w:bCs/>
          <w:kern w:val="0"/>
          <w:sz w:val="32"/>
          <w:szCs w:val="32"/>
          <w:lang w:val="en-US" w:eastAsia="zh-CN"/>
        </w:rPr>
        <w:t>2020年公务用车运行维护费由车辆编制所在单位即市机关事务管理局编制预算和支出，本部门</w:t>
      </w:r>
      <w:r>
        <w:rPr>
          <w:rFonts w:hint="eastAsia" w:ascii="仿宋_GB2312" w:eastAsia="仿宋_GB2312" w:cs="仿宋_GB2312"/>
          <w:bCs/>
          <w:kern w:val="0"/>
          <w:sz w:val="32"/>
          <w:szCs w:val="32"/>
        </w:rPr>
        <w:t>公务用车购置及运行费</w:t>
      </w:r>
      <w:r>
        <w:rPr>
          <w:rFonts w:hint="eastAsia" w:ascii="仿宋_GB2312" w:eastAsia="仿宋_GB2312" w:cs="仿宋_GB2312"/>
          <w:bCs/>
          <w:kern w:val="0"/>
          <w:sz w:val="32"/>
          <w:szCs w:val="32"/>
          <w:lang w:eastAsia="zh-CN"/>
        </w:rPr>
        <w:t>预算</w:t>
      </w:r>
      <w:r>
        <w:rPr>
          <w:rFonts w:hint="eastAsia" w:ascii="仿宋_GB2312" w:eastAsia="仿宋_GB2312" w:cs="仿宋_GB2312"/>
          <w:bCs/>
          <w:kern w:val="0"/>
          <w:sz w:val="32"/>
          <w:szCs w:val="32"/>
        </w:rPr>
        <w:t>；公务接待费支出减少的主要原因是</w:t>
      </w:r>
      <w:r>
        <w:rPr>
          <w:rFonts w:hint="eastAsia" w:ascii="仿宋_GB2312" w:eastAsia="仿宋_GB2312" w:cs="仿宋_GB2312"/>
          <w:bCs/>
          <w:kern w:val="0"/>
          <w:sz w:val="32"/>
          <w:szCs w:val="32"/>
          <w:lang w:eastAsia="zh-CN"/>
        </w:rPr>
        <w:t>本部门</w:t>
      </w:r>
      <w:r>
        <w:rPr>
          <w:rFonts w:hint="eastAsia" w:ascii="仿宋_GB2312" w:eastAsia="仿宋_GB2312" w:cs="仿宋_GB2312"/>
          <w:bCs/>
          <w:kern w:val="0"/>
          <w:sz w:val="32"/>
          <w:szCs w:val="32"/>
        </w:rPr>
        <w:t>认真贯彻落实中央“八项规定”精神和厉行节约要求，进一步从严控制“三公”经费开支</w:t>
      </w:r>
      <w:r>
        <w:rPr>
          <w:rFonts w:hint="eastAsia" w:ascii="仿宋_GB2312" w:eastAsia="仿宋_GB2312" w:cs="仿宋_GB2312"/>
          <w:bCs/>
          <w:kern w:val="0"/>
          <w:sz w:val="32"/>
          <w:szCs w:val="32"/>
          <w:lang w:eastAsia="zh-CN"/>
        </w:rPr>
        <w:t>；加之新冠肺炎疫情影响，接待任务减少。</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万元；公务用车购置及运行费支出决算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万元；公务接待费支出决算</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 xml:space="preserve">%。具体情况如下：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万元。全年安排机关和所属单位因公出国 （境）团组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个，累计</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 公务用车购置支出为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万元。公务用车运行支出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万元。2020年，机关所属单位开支财政拨款的公务用车保有量为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外宾接待支出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万元。2020 年共接待国（境）外来访团组</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个、来访外宾</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人次。    </w:t>
      </w:r>
    </w:p>
    <w:p>
      <w:pPr>
        <w:autoSpaceDE w:val="0"/>
        <w:autoSpaceDN w:val="0"/>
        <w:adjustRightInd w:val="0"/>
        <w:spacing w:line="580" w:lineRule="exact"/>
        <w:ind w:firstLine="640"/>
        <w:jc w:val="left"/>
        <w:rPr>
          <w:rFonts w:ascii="仿宋_GB2312" w:eastAsia="仿宋_GB2312" w:cs="仿宋_GB2312"/>
          <w:bCs/>
          <w:kern w:val="0"/>
          <w:sz w:val="32"/>
          <w:szCs w:val="32"/>
          <w:lang w:val="en-US"/>
        </w:rPr>
      </w:pP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0.14</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有业务往来的单位来访人员用餐接待</w:t>
      </w:r>
      <w:r>
        <w:rPr>
          <w:rFonts w:hint="eastAsia" w:ascii="仿宋_GB2312" w:eastAsia="仿宋_GB2312" w:cs="仿宋_GB2312"/>
          <w:bCs/>
          <w:kern w:val="0"/>
          <w:sz w:val="32"/>
          <w:szCs w:val="32"/>
        </w:rPr>
        <w:t>。2020年共接待国内来访团组</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18</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rPr>
        <w:t xml:space="preserve">    </w:t>
      </w:r>
      <w:r>
        <w:rPr>
          <w:rFonts w:hint="eastAsia" w:ascii="仿宋_GB2312" w:eastAsia="仿宋_GB2312"/>
          <w:sz w:val="32"/>
          <w:szCs w:val="32"/>
        </w:rPr>
        <w:t>本部门20</w:t>
      </w:r>
      <w:r>
        <w:rPr>
          <w:rFonts w:hint="eastAsia" w:ascii="仿宋_GB2312" w:eastAsia="仿宋_GB2312"/>
          <w:sz w:val="32"/>
          <w:szCs w:val="32"/>
          <w:lang w:val="en-US" w:eastAsia="zh-CN"/>
        </w:rPr>
        <w:t>20</w:t>
      </w:r>
      <w:r>
        <w:rPr>
          <w:rFonts w:hint="eastAsia" w:ascii="仿宋_GB2312" w:eastAsia="仿宋_GB2312"/>
          <w:sz w:val="32"/>
          <w:szCs w:val="32"/>
        </w:rPr>
        <w:t>年度政府基金预算财政拨款收入总决算0万元，支出总决算0万元。</w:t>
      </w:r>
      <w:r>
        <w:rPr>
          <w:rFonts w:hint="eastAsia" w:ascii="仿宋_GB2312" w:eastAsia="仿宋_GB2312"/>
          <w:sz w:val="32"/>
          <w:szCs w:val="32"/>
          <w:lang w:eastAsia="zh-CN"/>
        </w:rPr>
        <w:t>收、支与</w:t>
      </w:r>
      <w:r>
        <w:rPr>
          <w:rFonts w:hint="eastAsia" w:ascii="仿宋_GB2312" w:eastAsia="仿宋_GB2312"/>
          <w:sz w:val="32"/>
          <w:szCs w:val="32"/>
          <w:lang w:val="en-US" w:eastAsia="zh-CN"/>
        </w:rPr>
        <w:t>2019年持平。</w:t>
      </w:r>
      <w:bookmarkStart w:id="0" w:name="_GoBack"/>
      <w:bookmarkEnd w:id="0"/>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spacing w:line="360" w:lineRule="auto"/>
        <w:ind w:firstLine="640" w:firstLineChars="200"/>
        <w:rPr>
          <w:rFonts w:ascii="仿宋_GB2312" w:eastAsia="仿宋_GB2312" w:cs="仿宋_GB2312"/>
          <w:bCs/>
          <w:kern w:val="0"/>
          <w:sz w:val="32"/>
          <w:szCs w:val="32"/>
        </w:rPr>
      </w:pPr>
      <w:r>
        <w:rPr>
          <w:rFonts w:hint="eastAsia" w:ascii="仿宋_GB2312" w:eastAsia="仿宋_GB2312"/>
          <w:sz w:val="32"/>
          <w:szCs w:val="32"/>
        </w:rPr>
        <w:t>根据财政预算管理要求，本部门组织对20</w:t>
      </w:r>
      <w:r>
        <w:rPr>
          <w:rFonts w:hint="eastAsia" w:ascii="仿宋_GB2312" w:eastAsia="仿宋_GB2312"/>
          <w:sz w:val="32"/>
          <w:szCs w:val="32"/>
          <w:lang w:val="en-US" w:eastAsia="zh-CN"/>
        </w:rPr>
        <w:t>20</w:t>
      </w:r>
      <w:r>
        <w:rPr>
          <w:rFonts w:hint="eastAsia" w:ascii="仿宋_GB2312" w:eastAsia="仿宋_GB2312"/>
          <w:sz w:val="32"/>
          <w:szCs w:val="32"/>
        </w:rPr>
        <w:t>年度一般公共预算整体支出全面开展绩效自评，共涉及预算资金</w:t>
      </w:r>
      <w:r>
        <w:rPr>
          <w:rFonts w:hint="eastAsia" w:ascii="仿宋_GB2312" w:eastAsia="仿宋_GB2312" w:cs="仿宋_GB2312"/>
          <w:bCs/>
          <w:kern w:val="0"/>
          <w:sz w:val="32"/>
          <w:szCs w:val="32"/>
        </w:rPr>
        <w:t>1595.37</w:t>
      </w:r>
      <w:r>
        <w:rPr>
          <w:rFonts w:hint="eastAsia" w:ascii="仿宋_GB2312" w:eastAsia="仿宋_GB2312"/>
          <w:sz w:val="32"/>
          <w:szCs w:val="32"/>
        </w:rPr>
        <w:t>万元，自评覆盖率达到100%。</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部门决算中</w:t>
      </w:r>
      <w:r>
        <w:rPr>
          <w:rFonts w:hint="eastAsia" w:ascii="仿宋_GB2312" w:eastAsia="仿宋_GB2312"/>
          <w:sz w:val="32"/>
          <w:szCs w:val="32"/>
          <w:lang w:eastAsia="zh-CN"/>
        </w:rPr>
        <w:t>机关本级</w:t>
      </w:r>
      <w:r>
        <w:rPr>
          <w:rFonts w:hint="eastAsia" w:ascii="仿宋_GB2312" w:eastAsia="仿宋_GB2312"/>
          <w:sz w:val="32"/>
          <w:szCs w:val="32"/>
        </w:rPr>
        <w:t>整体绩效自评结果绩效自评总分</w:t>
      </w:r>
      <w:r>
        <w:rPr>
          <w:rFonts w:hint="eastAsia" w:ascii="仿宋_GB2312" w:eastAsia="仿宋_GB2312"/>
          <w:sz w:val="32"/>
          <w:szCs w:val="32"/>
          <w:lang w:val="en-US" w:eastAsia="zh-CN"/>
        </w:rPr>
        <w:t>98.5</w:t>
      </w:r>
      <w:r>
        <w:rPr>
          <w:rFonts w:hint="eastAsia" w:ascii="仿宋_GB2312" w:eastAsia="仿宋_GB2312"/>
          <w:sz w:val="32"/>
          <w:szCs w:val="32"/>
        </w:rPr>
        <w:t>分，其中：绩效目标执行情况得分</w:t>
      </w:r>
      <w:r>
        <w:rPr>
          <w:rFonts w:hint="eastAsia" w:ascii="仿宋_GB2312" w:eastAsia="仿宋_GB2312"/>
          <w:sz w:val="32"/>
          <w:szCs w:val="32"/>
          <w:lang w:val="en-US" w:eastAsia="zh-CN"/>
        </w:rPr>
        <w:t>100</w:t>
      </w:r>
      <w:r>
        <w:rPr>
          <w:rFonts w:hint="eastAsia" w:ascii="仿宋_GB2312" w:eastAsia="仿宋_GB2312"/>
          <w:sz w:val="32"/>
          <w:szCs w:val="32"/>
        </w:rPr>
        <w:t>分，绩效目标评分</w:t>
      </w:r>
      <w:r>
        <w:rPr>
          <w:rFonts w:hint="eastAsia" w:ascii="仿宋_GB2312" w:eastAsia="仿宋_GB2312"/>
          <w:sz w:val="32"/>
          <w:szCs w:val="32"/>
          <w:lang w:val="en-US" w:eastAsia="zh-CN"/>
        </w:rPr>
        <w:t>95</w:t>
      </w:r>
      <w:r>
        <w:rPr>
          <w:rFonts w:hint="eastAsia" w:ascii="仿宋_GB2312" w:eastAsia="仿宋_GB2312"/>
          <w:sz w:val="32"/>
          <w:szCs w:val="32"/>
        </w:rPr>
        <w:t>分</w:t>
      </w:r>
      <w:r>
        <w:rPr>
          <w:rFonts w:hint="eastAsia" w:ascii="仿宋_GB2312" w:eastAsia="仿宋_GB2312"/>
          <w:sz w:val="32"/>
          <w:szCs w:val="32"/>
          <w:lang w:eastAsia="zh-CN"/>
        </w:rPr>
        <w:t>；二层单位</w:t>
      </w:r>
      <w:r>
        <w:rPr>
          <w:rFonts w:hint="eastAsia" w:ascii="仿宋_GB2312" w:eastAsia="仿宋_GB2312"/>
          <w:sz w:val="32"/>
          <w:szCs w:val="32"/>
        </w:rPr>
        <w:t>整体绩效自评结果绩效自评总分</w:t>
      </w:r>
      <w:r>
        <w:rPr>
          <w:rFonts w:hint="eastAsia" w:ascii="仿宋_GB2312" w:eastAsia="仿宋_GB2312"/>
          <w:sz w:val="32"/>
          <w:szCs w:val="32"/>
          <w:lang w:val="en-US" w:eastAsia="zh-CN"/>
        </w:rPr>
        <w:t>96.7</w:t>
      </w:r>
      <w:r>
        <w:rPr>
          <w:rFonts w:hint="eastAsia" w:ascii="仿宋_GB2312" w:eastAsia="仿宋_GB2312"/>
          <w:sz w:val="32"/>
          <w:szCs w:val="32"/>
        </w:rPr>
        <w:t>分，其中：绩效目标执行情况得分</w:t>
      </w:r>
      <w:r>
        <w:rPr>
          <w:rFonts w:hint="eastAsia" w:ascii="仿宋_GB2312" w:eastAsia="仿宋_GB2312"/>
          <w:sz w:val="32"/>
          <w:szCs w:val="32"/>
          <w:lang w:val="en-US" w:eastAsia="zh-CN"/>
        </w:rPr>
        <w:t>100</w:t>
      </w:r>
      <w:r>
        <w:rPr>
          <w:rFonts w:hint="eastAsia" w:ascii="仿宋_GB2312" w:eastAsia="仿宋_GB2312"/>
          <w:sz w:val="32"/>
          <w:szCs w:val="32"/>
        </w:rPr>
        <w:t>分，绩效目标评分</w:t>
      </w:r>
      <w:r>
        <w:rPr>
          <w:rFonts w:hint="eastAsia" w:ascii="仿宋_GB2312" w:eastAsia="仿宋_GB2312"/>
          <w:sz w:val="32"/>
          <w:szCs w:val="32"/>
          <w:lang w:val="en-US" w:eastAsia="zh-CN"/>
        </w:rPr>
        <w:t>89</w:t>
      </w:r>
      <w:r>
        <w:rPr>
          <w:rFonts w:hint="eastAsia" w:ascii="仿宋_GB2312" w:eastAsia="仿宋_GB2312"/>
          <w:sz w:val="32"/>
          <w:szCs w:val="32"/>
        </w:rPr>
        <w:t>分</w:t>
      </w:r>
      <w:r>
        <w:rPr>
          <w:rFonts w:hint="eastAsia" w:ascii="仿宋_GB2312" w:eastAsia="仿宋_GB2312"/>
          <w:sz w:val="32"/>
          <w:szCs w:val="32"/>
          <w:lang w:eastAsia="zh-CN"/>
        </w:rPr>
        <w:t>。整个部门较好地完成了年初制度的预算绩效目标。</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hint="eastAsia" w:ascii="仿宋_GB2312" w:eastAsia="仿宋_GB2312" w:cs="仿宋_GB2312"/>
          <w:kern w:val="0"/>
          <w:sz w:val="32"/>
          <w:szCs w:val="32"/>
          <w:lang w:eastAsia="zh-CN"/>
        </w:rPr>
        <w:t>本单位为事业单位，单位</w:t>
      </w:r>
      <w:r>
        <w:rPr>
          <w:rFonts w:hint="eastAsia" w:ascii="仿宋_GB2312" w:eastAsia="仿宋_GB2312" w:cs="仿宋_GB2312"/>
          <w:kern w:val="0"/>
          <w:sz w:val="32"/>
          <w:szCs w:val="32"/>
        </w:rPr>
        <w:t>行经费支出</w:t>
      </w:r>
      <w:r>
        <w:rPr>
          <w:rFonts w:hint="eastAsia" w:ascii="仿宋_GB2312" w:eastAsia="仿宋_GB2312" w:cs="仿宋_GB2312"/>
          <w:kern w:val="0"/>
          <w:sz w:val="32"/>
          <w:szCs w:val="32"/>
          <w:lang w:val="en-US" w:eastAsia="zh-CN"/>
        </w:rPr>
        <w:t>12.89</w:t>
      </w:r>
      <w:r>
        <w:rPr>
          <w:rFonts w:hint="eastAsia" w:ascii="仿宋_GB2312" w:eastAsia="仿宋_GB2312" w:cs="仿宋_GB2312"/>
          <w:kern w:val="0"/>
          <w:sz w:val="32"/>
          <w:szCs w:val="32"/>
        </w:rPr>
        <w:t>万元，比2019年</w:t>
      </w:r>
      <w:r>
        <w:rPr>
          <w:rFonts w:hint="eastAsia" w:ascii="仿宋_GB2312" w:eastAsia="仿宋_GB2312" w:cs="仿宋_GB2312"/>
          <w:kern w:val="0"/>
          <w:sz w:val="32"/>
          <w:szCs w:val="32"/>
          <w:lang w:eastAsia="zh-CN"/>
        </w:rPr>
        <w:t>减少</w:t>
      </w:r>
      <w:r>
        <w:rPr>
          <w:rFonts w:hint="eastAsia" w:ascii="仿宋_GB2312" w:eastAsia="仿宋_GB2312" w:cs="仿宋_GB2312"/>
          <w:kern w:val="0"/>
          <w:sz w:val="32"/>
          <w:szCs w:val="32"/>
          <w:lang w:val="en-US" w:eastAsia="zh-CN"/>
        </w:rPr>
        <w:t>12.81</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下降</w:t>
      </w:r>
      <w:r>
        <w:rPr>
          <w:rFonts w:hint="eastAsia" w:ascii="仿宋_GB2312" w:eastAsia="仿宋_GB2312" w:cs="仿宋_GB2312"/>
          <w:kern w:val="0"/>
          <w:sz w:val="32"/>
          <w:szCs w:val="32"/>
          <w:lang w:val="en-US" w:eastAsia="zh-CN"/>
        </w:rPr>
        <w:t>21.19</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下降的主要</w:t>
      </w:r>
      <w:r>
        <w:rPr>
          <w:rFonts w:hint="eastAsia" w:ascii="仿宋_GB2312" w:eastAsia="仿宋_GB2312" w:cs="仿宋_GB2312"/>
          <w:kern w:val="0"/>
          <w:sz w:val="32"/>
          <w:szCs w:val="32"/>
        </w:rPr>
        <w:t>原因</w:t>
      </w:r>
      <w:r>
        <w:rPr>
          <w:rFonts w:hint="eastAsia" w:ascii="仿宋_GB2312" w:eastAsia="仿宋_GB2312" w:cs="仿宋_GB2312"/>
          <w:kern w:val="0"/>
          <w:sz w:val="32"/>
          <w:szCs w:val="32"/>
          <w:lang w:eastAsia="zh-CN"/>
        </w:rPr>
        <w:t>是与</w:t>
      </w:r>
      <w:r>
        <w:rPr>
          <w:rFonts w:hint="eastAsia" w:ascii="仿宋_GB2312" w:eastAsia="仿宋_GB2312" w:cs="仿宋_GB2312"/>
          <w:kern w:val="0"/>
          <w:sz w:val="32"/>
          <w:szCs w:val="32"/>
          <w:lang w:val="en-US" w:eastAsia="zh-CN"/>
        </w:rPr>
        <w:t>2019年对比，本部门2020年无公务用车运行维护费相关开支</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w:t>
      </w:r>
      <w:r>
        <w:rPr>
          <w:rFonts w:hint="eastAsia" w:ascii="仿宋_GB2312" w:eastAsia="仿宋_GB2312" w:cs="仿宋_GB2312"/>
          <w:kern w:val="0"/>
          <w:sz w:val="32"/>
          <w:szCs w:val="32"/>
          <w:lang w:val="en-US" w:eastAsia="zh-CN"/>
        </w:rPr>
        <w:t>14.61</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4.38</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10.23</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w:t>
      </w:r>
      <w:r>
        <w:rPr>
          <w:rFonts w:hint="eastAsia" w:ascii="仿宋_GB2312" w:eastAsia="仿宋_GB2312"/>
          <w:sz w:val="32"/>
          <w:szCs w:val="32"/>
        </w:rPr>
        <w:t>截至年末部门无车辆；单价50万元以上通用设备0台（套），单价100 万元以上专用设备0台（套）。</w:t>
      </w:r>
      <w:r>
        <w:rPr>
          <w:rFonts w:hint="eastAsia"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3" w:type="default"/>
      <w:footerReference r:id="rId4"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30"/>
        <w:szCs w:val="30"/>
      </w:rPr>
    </w:pPr>
    <w:r>
      <w:rPr>
        <w:sz w:val="30"/>
        <w:szCs w:val="30"/>
      </w:rPr>
      <w:fldChar w:fldCharType="begin"/>
    </w:r>
    <w:r>
      <w:rPr>
        <w:rStyle w:val="6"/>
        <w:sz w:val="30"/>
        <w:szCs w:val="30"/>
      </w:rPr>
      <w:instrText xml:space="preserve">PAGE  </w:instrText>
    </w:r>
    <w:r>
      <w:rPr>
        <w:sz w:val="30"/>
        <w:szCs w:val="30"/>
      </w:rPr>
      <w:fldChar w:fldCharType="separate"/>
    </w:r>
    <w:r>
      <w:rPr>
        <w:rStyle w:val="6"/>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384AC9"/>
    <w:rsid w:val="006C1367"/>
    <w:rsid w:val="00711398"/>
    <w:rsid w:val="00715385"/>
    <w:rsid w:val="00F66C5B"/>
    <w:rsid w:val="01B004EB"/>
    <w:rsid w:val="04116C22"/>
    <w:rsid w:val="047053CD"/>
    <w:rsid w:val="073C5A0C"/>
    <w:rsid w:val="07AB4549"/>
    <w:rsid w:val="08526378"/>
    <w:rsid w:val="08600D1B"/>
    <w:rsid w:val="0C8A03A2"/>
    <w:rsid w:val="0DB951EE"/>
    <w:rsid w:val="0E667D6F"/>
    <w:rsid w:val="0F4D1A4B"/>
    <w:rsid w:val="0F682E78"/>
    <w:rsid w:val="0FE058E3"/>
    <w:rsid w:val="11717935"/>
    <w:rsid w:val="11DF6024"/>
    <w:rsid w:val="124204B5"/>
    <w:rsid w:val="155A4F9F"/>
    <w:rsid w:val="15D3167E"/>
    <w:rsid w:val="16294578"/>
    <w:rsid w:val="18561D29"/>
    <w:rsid w:val="191E06FF"/>
    <w:rsid w:val="192704B0"/>
    <w:rsid w:val="19DD0025"/>
    <w:rsid w:val="1B575E16"/>
    <w:rsid w:val="1B636F5A"/>
    <w:rsid w:val="1E235808"/>
    <w:rsid w:val="1E3D1BB1"/>
    <w:rsid w:val="1F5D4FA5"/>
    <w:rsid w:val="1F8644E9"/>
    <w:rsid w:val="1FAF4070"/>
    <w:rsid w:val="200101F6"/>
    <w:rsid w:val="230B1B3B"/>
    <w:rsid w:val="23865D06"/>
    <w:rsid w:val="25306E34"/>
    <w:rsid w:val="25816146"/>
    <w:rsid w:val="26460DBA"/>
    <w:rsid w:val="27174C5C"/>
    <w:rsid w:val="27D752F3"/>
    <w:rsid w:val="27FF6B09"/>
    <w:rsid w:val="29E35A39"/>
    <w:rsid w:val="2A0E09DD"/>
    <w:rsid w:val="2B1D13D2"/>
    <w:rsid w:val="2B6F74EB"/>
    <w:rsid w:val="2B960D3A"/>
    <w:rsid w:val="2C4219FE"/>
    <w:rsid w:val="2D351F4C"/>
    <w:rsid w:val="30E17C6C"/>
    <w:rsid w:val="31C56F90"/>
    <w:rsid w:val="31CB3397"/>
    <w:rsid w:val="32097BE8"/>
    <w:rsid w:val="33030C5A"/>
    <w:rsid w:val="34020F86"/>
    <w:rsid w:val="34EE6FC0"/>
    <w:rsid w:val="36F603FC"/>
    <w:rsid w:val="38F07759"/>
    <w:rsid w:val="3981199F"/>
    <w:rsid w:val="39A63F06"/>
    <w:rsid w:val="39BD4254"/>
    <w:rsid w:val="3A51399A"/>
    <w:rsid w:val="3AD61D64"/>
    <w:rsid w:val="3BF21AC7"/>
    <w:rsid w:val="3C7241D1"/>
    <w:rsid w:val="3C971A42"/>
    <w:rsid w:val="3ED1439F"/>
    <w:rsid w:val="3F344432"/>
    <w:rsid w:val="4164704F"/>
    <w:rsid w:val="41A84B7D"/>
    <w:rsid w:val="448A3E7E"/>
    <w:rsid w:val="452B7D75"/>
    <w:rsid w:val="45575710"/>
    <w:rsid w:val="46260F05"/>
    <w:rsid w:val="480E36B2"/>
    <w:rsid w:val="48D23ACB"/>
    <w:rsid w:val="49A20F02"/>
    <w:rsid w:val="4AC1442A"/>
    <w:rsid w:val="4C256E3D"/>
    <w:rsid w:val="4CB52F0F"/>
    <w:rsid w:val="4CC651C1"/>
    <w:rsid w:val="4CE53ACE"/>
    <w:rsid w:val="4D5C3463"/>
    <w:rsid w:val="4FEC24D1"/>
    <w:rsid w:val="4FFB5F71"/>
    <w:rsid w:val="50543D71"/>
    <w:rsid w:val="51861EAA"/>
    <w:rsid w:val="531420AA"/>
    <w:rsid w:val="532F1F9A"/>
    <w:rsid w:val="54EA36E9"/>
    <w:rsid w:val="55082C0E"/>
    <w:rsid w:val="57AD449A"/>
    <w:rsid w:val="596E587D"/>
    <w:rsid w:val="59C74F9D"/>
    <w:rsid w:val="5A1621F4"/>
    <w:rsid w:val="5A1E6D4B"/>
    <w:rsid w:val="5C4010A6"/>
    <w:rsid w:val="5E995A3E"/>
    <w:rsid w:val="607D3B1D"/>
    <w:rsid w:val="61270823"/>
    <w:rsid w:val="6180658A"/>
    <w:rsid w:val="61AA60CB"/>
    <w:rsid w:val="62163194"/>
    <w:rsid w:val="624D024D"/>
    <w:rsid w:val="62C0770D"/>
    <w:rsid w:val="650E086A"/>
    <w:rsid w:val="667347C9"/>
    <w:rsid w:val="6741579D"/>
    <w:rsid w:val="67BA5D7C"/>
    <w:rsid w:val="69225E4F"/>
    <w:rsid w:val="696C3BF6"/>
    <w:rsid w:val="69AA0AC3"/>
    <w:rsid w:val="6A1B1EA3"/>
    <w:rsid w:val="6BAA0708"/>
    <w:rsid w:val="6D9E7190"/>
    <w:rsid w:val="70B06A78"/>
    <w:rsid w:val="70BE646A"/>
    <w:rsid w:val="72191D6B"/>
    <w:rsid w:val="73B63314"/>
    <w:rsid w:val="747D416B"/>
    <w:rsid w:val="76372A98"/>
    <w:rsid w:val="76C40AEB"/>
    <w:rsid w:val="77A16D55"/>
    <w:rsid w:val="7A4465DD"/>
    <w:rsid w:val="7AEF291E"/>
    <w:rsid w:val="7D2637FC"/>
    <w:rsid w:val="7DC2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165</TotalTime>
  <ScaleCrop>false</ScaleCrop>
  <LinksUpToDate>false</LinksUpToDate>
  <CharactersWithSpaces>8540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AAA</cp:lastModifiedBy>
  <cp:lastPrinted>2021-07-07T01:10:00Z</cp:lastPrinted>
  <dcterms:modified xsi:type="dcterms:W3CDTF">2022-09-09T07:10:19Z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