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94"/>
        <w:rPr>
          <w:rFonts w:ascii="黑体" w:hAnsi="黑体" w:eastAsia="黑体" w:cs="黑体"/>
          <w:sz w:val="32"/>
          <w:szCs w:val="32"/>
        </w:rPr>
      </w:pPr>
      <w:r>
        <w:rPr>
          <w:rFonts w:hint="eastAsia" w:ascii="黑体" w:hAnsi="黑体" w:eastAsia="黑体" w:cs="黑体"/>
          <w:sz w:val="32"/>
          <w:szCs w:val="32"/>
        </w:rPr>
        <w:t>附件3</w:t>
      </w:r>
    </w:p>
    <w:p>
      <w:pPr>
        <w:spacing w:line="460" w:lineRule="exact"/>
        <w:jc w:val="center"/>
        <w:rPr>
          <w:rFonts w:ascii="宋体" w:hAnsi="宋体" w:cs="宋体"/>
          <w:b/>
          <w:bCs/>
          <w:sz w:val="44"/>
          <w:szCs w:val="44"/>
        </w:rPr>
      </w:pPr>
      <w:r>
        <w:rPr>
          <w:rFonts w:hint="eastAsia" w:ascii="方正小标宋简体" w:hAnsi="方正小标宋简体" w:eastAsia="方正小标宋简体" w:cs="方正小标宋简体"/>
          <w:sz w:val="44"/>
          <w:szCs w:val="44"/>
          <w:u w:val="single"/>
        </w:rPr>
        <w:t xml:space="preserve">  </w:t>
      </w:r>
      <w:r>
        <w:rPr>
          <w:rFonts w:hint="eastAsia" w:ascii="方正小标宋简体" w:hAnsi="方正小标宋简体" w:eastAsia="方正小标宋简体" w:cs="方正小标宋简体"/>
          <w:sz w:val="44"/>
          <w:szCs w:val="44"/>
          <w:u w:val="single"/>
          <w:lang w:eastAsia="zh-CN"/>
        </w:rPr>
        <w:t>柳州市农业综合行政执法支队</w:t>
      </w:r>
      <w:r>
        <w:rPr>
          <w:rFonts w:hint="eastAsia" w:ascii="方正小标宋简体" w:hAnsi="方正小标宋简体" w:eastAsia="方正小标宋简体" w:cs="方正小标宋简体"/>
          <w:sz w:val="44"/>
          <w:szCs w:val="44"/>
        </w:rPr>
        <w:t>2020年随机抽查事项清单</w:t>
      </w:r>
    </w:p>
    <w:p>
      <w:pPr>
        <w:spacing w:line="460" w:lineRule="exact"/>
        <w:jc w:val="center"/>
        <w:rPr>
          <w:rFonts w:ascii="楷体_GB2312" w:hAnsi="楷体_GB2312" w:eastAsia="楷体_GB2312" w:cs="楷体_GB2312"/>
          <w:sz w:val="32"/>
          <w:szCs w:val="32"/>
        </w:rPr>
      </w:pPr>
    </w:p>
    <w:tbl>
      <w:tblPr>
        <w:tblStyle w:val="4"/>
        <w:tblW w:w="142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910"/>
        <w:gridCol w:w="2146"/>
        <w:gridCol w:w="1894"/>
        <w:gridCol w:w="1069"/>
        <w:gridCol w:w="1331"/>
        <w:gridCol w:w="1391"/>
        <w:gridCol w:w="3934"/>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3" w:type="dxa"/>
            <w:vMerge w:val="restart"/>
            <w:vAlign w:val="center"/>
          </w:tcPr>
          <w:p>
            <w:pPr>
              <w:spacing w:line="460" w:lineRule="exact"/>
              <w:jc w:val="center"/>
              <w:rPr>
                <w:rFonts w:ascii="黑体" w:hAnsi="黑体" w:eastAsia="黑体"/>
                <w:sz w:val="24"/>
                <w:szCs w:val="32"/>
              </w:rPr>
            </w:pPr>
            <w:r>
              <w:rPr>
                <w:rFonts w:hint="eastAsia" w:ascii="黑体" w:hAnsi="黑体" w:eastAsia="黑体" w:cs="黑体"/>
                <w:sz w:val="24"/>
                <w:szCs w:val="32"/>
              </w:rPr>
              <w:t>序号</w:t>
            </w:r>
          </w:p>
        </w:tc>
        <w:tc>
          <w:tcPr>
            <w:tcW w:w="3056" w:type="dxa"/>
            <w:gridSpan w:val="2"/>
            <w:vAlign w:val="center"/>
          </w:tcPr>
          <w:p>
            <w:pPr>
              <w:spacing w:line="460" w:lineRule="exact"/>
              <w:jc w:val="center"/>
              <w:rPr>
                <w:rFonts w:ascii="黑体" w:hAnsi="黑体" w:eastAsia="黑体"/>
                <w:sz w:val="24"/>
                <w:szCs w:val="32"/>
              </w:rPr>
            </w:pPr>
            <w:r>
              <w:rPr>
                <w:rFonts w:hint="eastAsia" w:ascii="黑体" w:hAnsi="黑体" w:eastAsia="黑体" w:cs="黑体"/>
                <w:sz w:val="24"/>
                <w:szCs w:val="32"/>
              </w:rPr>
              <w:t>抽查项目</w:t>
            </w:r>
          </w:p>
        </w:tc>
        <w:tc>
          <w:tcPr>
            <w:tcW w:w="1894" w:type="dxa"/>
            <w:vMerge w:val="restart"/>
            <w:vAlign w:val="center"/>
          </w:tcPr>
          <w:p>
            <w:pPr>
              <w:spacing w:line="460" w:lineRule="exact"/>
              <w:jc w:val="center"/>
              <w:rPr>
                <w:rFonts w:ascii="黑体" w:hAnsi="黑体" w:eastAsia="黑体"/>
                <w:sz w:val="24"/>
                <w:szCs w:val="32"/>
              </w:rPr>
            </w:pPr>
            <w:r>
              <w:rPr>
                <w:rFonts w:hint="eastAsia" w:ascii="黑体" w:hAnsi="黑体" w:eastAsia="黑体" w:cs="黑体"/>
                <w:sz w:val="24"/>
                <w:szCs w:val="32"/>
              </w:rPr>
              <w:t>检查对象</w:t>
            </w:r>
          </w:p>
        </w:tc>
        <w:tc>
          <w:tcPr>
            <w:tcW w:w="1069" w:type="dxa"/>
            <w:vMerge w:val="restart"/>
            <w:vAlign w:val="center"/>
          </w:tcPr>
          <w:p>
            <w:pPr>
              <w:spacing w:line="460" w:lineRule="exact"/>
              <w:jc w:val="center"/>
              <w:rPr>
                <w:rFonts w:ascii="黑体" w:hAnsi="黑体" w:eastAsia="黑体" w:cs="黑体"/>
                <w:sz w:val="24"/>
                <w:szCs w:val="32"/>
              </w:rPr>
            </w:pPr>
            <w:r>
              <w:rPr>
                <w:rFonts w:hint="eastAsia" w:ascii="黑体" w:hAnsi="黑体" w:eastAsia="黑体" w:cs="黑体"/>
                <w:sz w:val="24"/>
                <w:szCs w:val="32"/>
              </w:rPr>
              <w:t>事项</w:t>
            </w:r>
          </w:p>
          <w:p>
            <w:pPr>
              <w:spacing w:line="460" w:lineRule="exact"/>
              <w:jc w:val="center"/>
              <w:rPr>
                <w:rFonts w:ascii="黑体" w:hAnsi="黑体" w:eastAsia="黑体"/>
                <w:sz w:val="24"/>
                <w:szCs w:val="32"/>
              </w:rPr>
            </w:pPr>
            <w:r>
              <w:rPr>
                <w:rFonts w:hint="eastAsia" w:ascii="黑体" w:hAnsi="黑体" w:eastAsia="黑体" w:cs="黑体"/>
                <w:sz w:val="24"/>
                <w:szCs w:val="32"/>
              </w:rPr>
              <w:t>类型</w:t>
            </w:r>
          </w:p>
        </w:tc>
        <w:tc>
          <w:tcPr>
            <w:tcW w:w="1331" w:type="dxa"/>
            <w:vMerge w:val="restart"/>
            <w:vAlign w:val="center"/>
          </w:tcPr>
          <w:p>
            <w:pPr>
              <w:spacing w:line="460" w:lineRule="exact"/>
              <w:jc w:val="center"/>
              <w:rPr>
                <w:rFonts w:ascii="黑体" w:hAnsi="黑体" w:eastAsia="黑体"/>
                <w:sz w:val="24"/>
                <w:szCs w:val="32"/>
              </w:rPr>
            </w:pPr>
            <w:r>
              <w:rPr>
                <w:rFonts w:hint="eastAsia" w:ascii="黑体" w:hAnsi="黑体" w:eastAsia="黑体" w:cs="黑体"/>
                <w:sz w:val="24"/>
                <w:szCs w:val="32"/>
              </w:rPr>
              <w:t>检查方式</w:t>
            </w:r>
          </w:p>
        </w:tc>
        <w:tc>
          <w:tcPr>
            <w:tcW w:w="1391" w:type="dxa"/>
            <w:vMerge w:val="restart"/>
            <w:vAlign w:val="center"/>
          </w:tcPr>
          <w:p>
            <w:pPr>
              <w:spacing w:line="460" w:lineRule="exact"/>
              <w:jc w:val="center"/>
              <w:rPr>
                <w:rFonts w:ascii="黑体" w:hAnsi="黑体" w:eastAsia="黑体"/>
                <w:sz w:val="24"/>
                <w:szCs w:val="32"/>
              </w:rPr>
            </w:pPr>
            <w:r>
              <w:rPr>
                <w:rFonts w:hint="eastAsia" w:ascii="黑体" w:hAnsi="黑体" w:eastAsia="黑体" w:cs="黑体"/>
                <w:sz w:val="24"/>
                <w:szCs w:val="32"/>
              </w:rPr>
              <w:t>检查主体</w:t>
            </w:r>
          </w:p>
        </w:tc>
        <w:tc>
          <w:tcPr>
            <w:tcW w:w="3934" w:type="dxa"/>
            <w:vMerge w:val="restart"/>
            <w:vAlign w:val="center"/>
          </w:tcPr>
          <w:p>
            <w:pPr>
              <w:spacing w:line="460" w:lineRule="exact"/>
              <w:jc w:val="center"/>
              <w:rPr>
                <w:rFonts w:ascii="黑体" w:hAnsi="黑体" w:eastAsia="黑体"/>
                <w:sz w:val="24"/>
                <w:szCs w:val="32"/>
              </w:rPr>
            </w:pPr>
            <w:r>
              <w:rPr>
                <w:rFonts w:hint="eastAsia" w:ascii="黑体" w:hAnsi="黑体" w:eastAsia="黑体" w:cs="黑体"/>
                <w:sz w:val="24"/>
                <w:szCs w:val="32"/>
              </w:rPr>
              <w:t>检查依据</w:t>
            </w:r>
          </w:p>
        </w:tc>
        <w:tc>
          <w:tcPr>
            <w:tcW w:w="993" w:type="dxa"/>
            <w:vMerge w:val="restart"/>
            <w:vAlign w:val="center"/>
          </w:tcPr>
          <w:p>
            <w:pPr>
              <w:spacing w:line="460" w:lineRule="exact"/>
              <w:jc w:val="center"/>
              <w:rPr>
                <w:rFonts w:ascii="黑体" w:hAnsi="黑体" w:eastAsia="黑体" w:cs="黑体"/>
                <w:sz w:val="24"/>
                <w:szCs w:val="32"/>
              </w:rPr>
            </w:pPr>
            <w:r>
              <w:rPr>
                <w:rFonts w:hint="eastAsia" w:ascii="黑体" w:hAnsi="黑体" w:eastAsia="黑体" w:cs="黑体"/>
                <w:sz w:val="24"/>
                <w:szCs w:val="32"/>
              </w:rPr>
              <w:t>牵头</w:t>
            </w:r>
          </w:p>
          <w:p>
            <w:pPr>
              <w:spacing w:line="460" w:lineRule="exact"/>
              <w:jc w:val="center"/>
              <w:rPr>
                <w:rFonts w:ascii="黑体" w:hAnsi="黑体" w:eastAsia="黑体"/>
                <w:sz w:val="24"/>
                <w:szCs w:val="32"/>
              </w:rPr>
            </w:pPr>
            <w:r>
              <w:rPr>
                <w:rFonts w:hint="eastAsia" w:ascii="黑体" w:hAnsi="黑体" w:eastAsia="黑体" w:cs="黑体"/>
                <w:sz w:val="24"/>
                <w:szCs w:val="32"/>
              </w:rPr>
              <w:t>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460" w:lineRule="exact"/>
              <w:jc w:val="center"/>
              <w:rPr>
                <w:sz w:val="22"/>
                <w:szCs w:val="22"/>
              </w:rPr>
            </w:pPr>
          </w:p>
        </w:tc>
        <w:tc>
          <w:tcPr>
            <w:tcW w:w="910" w:type="dxa"/>
            <w:vAlign w:val="center"/>
          </w:tcPr>
          <w:p>
            <w:pPr>
              <w:spacing w:line="460" w:lineRule="exact"/>
              <w:jc w:val="center"/>
              <w:rPr>
                <w:rFonts w:ascii="宋体"/>
                <w:sz w:val="24"/>
                <w:szCs w:val="32"/>
              </w:rPr>
            </w:pPr>
            <w:r>
              <w:rPr>
                <w:rFonts w:hint="eastAsia" w:ascii="宋体" w:hAnsi="宋体" w:cs="宋体"/>
                <w:sz w:val="24"/>
                <w:szCs w:val="32"/>
              </w:rPr>
              <w:t>抽查类别</w:t>
            </w:r>
          </w:p>
        </w:tc>
        <w:tc>
          <w:tcPr>
            <w:tcW w:w="2146" w:type="dxa"/>
            <w:vAlign w:val="center"/>
          </w:tcPr>
          <w:p>
            <w:pPr>
              <w:spacing w:line="460" w:lineRule="exact"/>
              <w:jc w:val="center"/>
              <w:rPr>
                <w:rFonts w:ascii="宋体"/>
                <w:sz w:val="24"/>
                <w:szCs w:val="32"/>
              </w:rPr>
            </w:pPr>
            <w:r>
              <w:rPr>
                <w:rFonts w:hint="eastAsia" w:ascii="宋体" w:hAnsi="宋体" w:cs="宋体"/>
                <w:sz w:val="24"/>
                <w:szCs w:val="32"/>
              </w:rPr>
              <w:t>抽查事项</w:t>
            </w:r>
          </w:p>
        </w:tc>
        <w:tc>
          <w:tcPr>
            <w:tcW w:w="1894" w:type="dxa"/>
            <w:vMerge w:val="continue"/>
            <w:vAlign w:val="center"/>
          </w:tcPr>
          <w:p>
            <w:pPr>
              <w:spacing w:line="460" w:lineRule="exact"/>
              <w:rPr>
                <w:sz w:val="28"/>
                <w:szCs w:val="28"/>
              </w:rPr>
            </w:pPr>
          </w:p>
        </w:tc>
        <w:tc>
          <w:tcPr>
            <w:tcW w:w="1069" w:type="dxa"/>
            <w:vMerge w:val="continue"/>
            <w:vAlign w:val="top"/>
          </w:tcPr>
          <w:p>
            <w:pPr>
              <w:spacing w:line="460" w:lineRule="exact"/>
              <w:rPr>
                <w:sz w:val="28"/>
                <w:szCs w:val="28"/>
              </w:rPr>
            </w:pPr>
          </w:p>
        </w:tc>
        <w:tc>
          <w:tcPr>
            <w:tcW w:w="1331" w:type="dxa"/>
            <w:vMerge w:val="continue"/>
            <w:vAlign w:val="top"/>
          </w:tcPr>
          <w:p>
            <w:pPr>
              <w:spacing w:line="460" w:lineRule="exact"/>
              <w:rPr>
                <w:sz w:val="28"/>
                <w:szCs w:val="28"/>
              </w:rPr>
            </w:pPr>
          </w:p>
        </w:tc>
        <w:tc>
          <w:tcPr>
            <w:tcW w:w="1391" w:type="dxa"/>
            <w:vMerge w:val="continue"/>
            <w:vAlign w:val="top"/>
          </w:tcPr>
          <w:p>
            <w:pPr>
              <w:spacing w:line="460" w:lineRule="exact"/>
              <w:rPr>
                <w:sz w:val="28"/>
                <w:szCs w:val="28"/>
              </w:rPr>
            </w:pPr>
          </w:p>
        </w:tc>
        <w:tc>
          <w:tcPr>
            <w:tcW w:w="3934" w:type="dxa"/>
            <w:vMerge w:val="continue"/>
            <w:vAlign w:val="top"/>
          </w:tcPr>
          <w:p>
            <w:pPr>
              <w:spacing w:line="460" w:lineRule="exact"/>
              <w:jc w:val="center"/>
              <w:rPr>
                <w:sz w:val="28"/>
                <w:szCs w:val="28"/>
              </w:rPr>
            </w:pPr>
          </w:p>
        </w:tc>
        <w:tc>
          <w:tcPr>
            <w:tcW w:w="993" w:type="dxa"/>
            <w:vMerge w:val="continue"/>
            <w:vAlign w:val="top"/>
          </w:tcPr>
          <w:p>
            <w:pPr>
              <w:spacing w:line="46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2" w:hRule="atLeast"/>
          <w:jc w:val="center"/>
        </w:trPr>
        <w:tc>
          <w:tcPr>
            <w:tcW w:w="583" w:type="dxa"/>
            <w:vAlign w:val="center"/>
          </w:tcPr>
          <w:p>
            <w:pPr>
              <w:spacing w:line="4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w:t>
            </w:r>
          </w:p>
        </w:tc>
        <w:tc>
          <w:tcPr>
            <w:tcW w:w="910" w:type="dxa"/>
            <w:vAlign w:val="center"/>
          </w:tcPr>
          <w:p>
            <w:pPr>
              <w:spacing w:line="4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兽药经营监督检查</w:t>
            </w:r>
          </w:p>
        </w:tc>
        <w:tc>
          <w:tcPr>
            <w:tcW w:w="2146"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兽药产品质量、标签说明书监督检查</w:t>
            </w:r>
          </w:p>
        </w:tc>
        <w:tc>
          <w:tcPr>
            <w:tcW w:w="1894"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兽药经营企业</w:t>
            </w:r>
          </w:p>
        </w:tc>
        <w:tc>
          <w:tcPr>
            <w:tcW w:w="1069"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重点检查</w:t>
            </w:r>
          </w:p>
        </w:tc>
        <w:tc>
          <w:tcPr>
            <w:tcW w:w="1331"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现场检查</w:t>
            </w:r>
          </w:p>
        </w:tc>
        <w:tc>
          <w:tcPr>
            <w:tcW w:w="1391"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县级以上农业行政管理部门</w:t>
            </w:r>
          </w:p>
        </w:tc>
        <w:tc>
          <w:tcPr>
            <w:tcW w:w="3934"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szCs w:val="24"/>
                <w:lang w:eastAsia="zh-CN"/>
              </w:rPr>
              <w:t>《兽药管理条例》第三条、第二十七条</w:t>
            </w:r>
          </w:p>
        </w:tc>
        <w:tc>
          <w:tcPr>
            <w:tcW w:w="993" w:type="dxa"/>
            <w:vAlign w:val="center"/>
          </w:tcPr>
          <w:p>
            <w:pPr>
              <w:spacing w:line="460" w:lineRule="exact"/>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83" w:type="dxa"/>
            <w:vAlign w:val="center"/>
          </w:tcPr>
          <w:p>
            <w:pPr>
              <w:spacing w:line="460" w:lineRule="exact"/>
              <w:jc w:val="center"/>
              <w:rPr>
                <w:rFonts w:hint="eastAsia" w:ascii="宋体" w:hAnsi="Calibri" w:cs="黑体" w:eastAsiaTheme="minorEastAsia"/>
                <w:kern w:val="2"/>
                <w:sz w:val="24"/>
                <w:szCs w:val="32"/>
                <w:lang w:val="en-US" w:eastAsia="zh-CN" w:bidi="ar-SA"/>
              </w:rPr>
            </w:pPr>
            <w:r>
              <w:rPr>
                <w:rFonts w:hint="eastAsia" w:ascii="宋体"/>
                <w:sz w:val="24"/>
                <w:szCs w:val="32"/>
                <w:lang w:val="en-US" w:eastAsia="zh-CN"/>
              </w:rPr>
              <w:t>2</w:t>
            </w:r>
          </w:p>
        </w:tc>
        <w:tc>
          <w:tcPr>
            <w:tcW w:w="910" w:type="dxa"/>
            <w:vAlign w:val="center"/>
          </w:tcPr>
          <w:p>
            <w:pPr>
              <w:spacing w:line="4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饲料生产监督检查</w:t>
            </w:r>
          </w:p>
        </w:tc>
        <w:tc>
          <w:tcPr>
            <w:tcW w:w="2146"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szCs w:val="24"/>
                <w:lang w:eastAsia="zh-CN"/>
              </w:rPr>
              <w:t>饲料质量安全管理规范执行情况</w:t>
            </w:r>
          </w:p>
        </w:tc>
        <w:tc>
          <w:tcPr>
            <w:tcW w:w="1894"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饲料生产企业</w:t>
            </w:r>
          </w:p>
        </w:tc>
        <w:tc>
          <w:tcPr>
            <w:tcW w:w="1069"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重点检查</w:t>
            </w:r>
          </w:p>
        </w:tc>
        <w:tc>
          <w:tcPr>
            <w:tcW w:w="1331"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现场检查</w:t>
            </w:r>
          </w:p>
        </w:tc>
        <w:tc>
          <w:tcPr>
            <w:tcW w:w="1391"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县级以上农业行政管理部门</w:t>
            </w:r>
          </w:p>
        </w:tc>
        <w:tc>
          <w:tcPr>
            <w:tcW w:w="3934"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szCs w:val="24"/>
                <w:lang w:eastAsia="zh-CN"/>
              </w:rPr>
              <w:t>《饲料和饲料添加剂管理条例》第三条、第十八条</w:t>
            </w:r>
          </w:p>
        </w:tc>
        <w:tc>
          <w:tcPr>
            <w:tcW w:w="993" w:type="dxa"/>
            <w:vAlign w:val="center"/>
          </w:tcPr>
          <w:p>
            <w:pPr>
              <w:spacing w:line="460" w:lineRule="exact"/>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0" w:hRule="atLeast"/>
          <w:jc w:val="center"/>
        </w:trPr>
        <w:tc>
          <w:tcPr>
            <w:tcW w:w="583" w:type="dxa"/>
            <w:vAlign w:val="center"/>
          </w:tcPr>
          <w:p>
            <w:pPr>
              <w:spacing w:line="460" w:lineRule="exact"/>
              <w:jc w:val="center"/>
              <w:rPr>
                <w:rFonts w:hint="eastAsia" w:ascii="宋体" w:hAnsi="Calibri" w:cs="黑体" w:eastAsiaTheme="minorEastAsia"/>
                <w:kern w:val="2"/>
                <w:sz w:val="24"/>
                <w:szCs w:val="32"/>
                <w:lang w:val="en-US" w:eastAsia="zh-CN" w:bidi="ar-SA"/>
              </w:rPr>
            </w:pPr>
            <w:r>
              <w:rPr>
                <w:rFonts w:hint="eastAsia" w:ascii="宋体"/>
                <w:sz w:val="24"/>
                <w:szCs w:val="32"/>
                <w:lang w:val="en-US" w:eastAsia="zh-CN"/>
              </w:rPr>
              <w:t>3</w:t>
            </w:r>
          </w:p>
        </w:tc>
        <w:tc>
          <w:tcPr>
            <w:tcW w:w="910" w:type="dxa"/>
            <w:vAlign w:val="center"/>
          </w:tcPr>
          <w:p>
            <w:pPr>
              <w:spacing w:line="4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动物诊疗机构监督检查</w:t>
            </w:r>
          </w:p>
        </w:tc>
        <w:tc>
          <w:tcPr>
            <w:tcW w:w="2146"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szCs w:val="24"/>
                <w:lang w:eastAsia="zh-CN"/>
              </w:rPr>
              <w:t>是否依法从事动物诊疗活动</w:t>
            </w:r>
          </w:p>
        </w:tc>
        <w:tc>
          <w:tcPr>
            <w:tcW w:w="1894"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动物诊疗机构</w:t>
            </w:r>
          </w:p>
        </w:tc>
        <w:tc>
          <w:tcPr>
            <w:tcW w:w="1069"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重点检查</w:t>
            </w:r>
          </w:p>
        </w:tc>
        <w:tc>
          <w:tcPr>
            <w:tcW w:w="1331"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现场检查</w:t>
            </w:r>
          </w:p>
        </w:tc>
        <w:tc>
          <w:tcPr>
            <w:tcW w:w="1391"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333333"/>
                <w:kern w:val="0"/>
                <w:sz w:val="24"/>
                <w:szCs w:val="24"/>
                <w:lang w:val="en-US" w:eastAsia="zh-CN" w:bidi="ar"/>
              </w:rPr>
              <w:t>县级以上地方人民政府设立的动物卫生监督机构</w:t>
            </w:r>
          </w:p>
        </w:tc>
        <w:tc>
          <w:tcPr>
            <w:tcW w:w="3934" w:type="dxa"/>
            <w:vAlign w:val="center"/>
          </w:tcPr>
          <w:p>
            <w:pPr>
              <w:spacing w:line="46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szCs w:val="24"/>
                <w:lang w:eastAsia="zh-CN"/>
              </w:rPr>
              <w:t>《动物诊疗机构管理办法》第三条、第十六条</w:t>
            </w:r>
          </w:p>
        </w:tc>
        <w:tc>
          <w:tcPr>
            <w:tcW w:w="993" w:type="dxa"/>
            <w:vAlign w:val="center"/>
          </w:tcPr>
          <w:p>
            <w:pPr>
              <w:spacing w:line="460" w:lineRule="exact"/>
              <w:rPr>
                <w:rFonts w:hint="eastAsia" w:ascii="仿宋_GB2312" w:hAnsi="仿宋_GB2312" w:eastAsia="仿宋_GB2312" w:cs="仿宋_GB2312"/>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7" w:hRule="atLeast"/>
          <w:jc w:val="center"/>
        </w:trPr>
        <w:tc>
          <w:tcPr>
            <w:tcW w:w="583" w:type="dxa"/>
            <w:vAlign w:val="center"/>
          </w:tcPr>
          <w:p>
            <w:pPr>
              <w:jc w:val="center"/>
              <w:rPr>
                <w:rFonts w:hint="default" w:ascii="宋体" w:hAnsi="Calibri" w:eastAsia="宋体" w:cs="黑体"/>
                <w:kern w:val="2"/>
                <w:sz w:val="24"/>
                <w:szCs w:val="32"/>
                <w:lang w:val="en-US" w:eastAsia="zh-CN" w:bidi="ar-SA"/>
              </w:rPr>
            </w:pPr>
            <w:r>
              <w:rPr>
                <w:rFonts w:hint="eastAsia" w:ascii="宋体" w:cs="黑体"/>
                <w:kern w:val="2"/>
                <w:sz w:val="24"/>
                <w:szCs w:val="32"/>
                <w:lang w:val="en-US" w:eastAsia="zh-CN" w:bidi="ar-SA"/>
              </w:rPr>
              <w:t>4</w:t>
            </w:r>
          </w:p>
        </w:tc>
        <w:tc>
          <w:tcPr>
            <w:tcW w:w="910" w:type="dxa"/>
            <w:vAlign w:val="center"/>
          </w:tcPr>
          <w:p>
            <w:pPr>
              <w:tabs>
                <w:tab w:val="left" w:pos="649"/>
              </w:tabs>
              <w:spacing w:line="336" w:lineRule="exact"/>
              <w:jc w:val="left"/>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rPr>
              <w:t>农作物种子监督检查</w:t>
            </w:r>
          </w:p>
        </w:tc>
        <w:tc>
          <w:tcPr>
            <w:tcW w:w="2146" w:type="dxa"/>
            <w:vAlign w:val="center"/>
          </w:tcPr>
          <w:p>
            <w:pPr>
              <w:spacing w:line="260" w:lineRule="exact"/>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lang w:eastAsia="zh-CN"/>
              </w:rPr>
              <w:t>农作物种子生产经营单位资质及市场行为</w:t>
            </w:r>
          </w:p>
        </w:tc>
        <w:tc>
          <w:tcPr>
            <w:tcW w:w="1894" w:type="dxa"/>
            <w:vAlign w:val="center"/>
          </w:tcPr>
          <w:p>
            <w:pPr>
              <w:ind w:left="0" w:leftChars="0" w:right="0" w:rightChars="0"/>
              <w:jc w:val="both"/>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lang w:eastAsia="zh-CN"/>
              </w:rPr>
              <w:t>柳州市市辖区内（不含柳江区）种子生产经营企业</w:t>
            </w:r>
          </w:p>
        </w:tc>
        <w:tc>
          <w:tcPr>
            <w:tcW w:w="1069" w:type="dxa"/>
            <w:vAlign w:val="center"/>
          </w:tcPr>
          <w:p>
            <w:pPr>
              <w:spacing w:line="260" w:lineRule="exact"/>
              <w:jc w:val="left"/>
              <w:rPr>
                <w:rFonts w:hint="eastAsia" w:ascii="宋体" w:hAnsi="Calibri" w:eastAsia="宋体" w:cs="黑体"/>
                <w:kern w:val="2"/>
                <w:sz w:val="24"/>
                <w:szCs w:val="32"/>
                <w:lang w:val="en-US" w:eastAsia="zh-CN" w:bidi="ar-SA"/>
              </w:rPr>
            </w:pPr>
            <w:r>
              <w:rPr>
                <w:rFonts w:hint="eastAsia" w:ascii="宋体"/>
                <w:sz w:val="24"/>
                <w:szCs w:val="32"/>
              </w:rPr>
              <w:t>重点检查</w:t>
            </w:r>
          </w:p>
        </w:tc>
        <w:tc>
          <w:tcPr>
            <w:tcW w:w="1331" w:type="dxa"/>
            <w:vAlign w:val="center"/>
          </w:tcPr>
          <w:p>
            <w:pPr>
              <w:spacing w:line="260" w:lineRule="exact"/>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rPr>
              <w:t>现场检查</w:t>
            </w:r>
          </w:p>
        </w:tc>
        <w:tc>
          <w:tcPr>
            <w:tcW w:w="1391" w:type="dxa"/>
            <w:vAlign w:val="center"/>
          </w:tcPr>
          <w:p>
            <w:pPr>
              <w:spacing w:line="260" w:lineRule="exact"/>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lang w:eastAsia="zh-CN"/>
              </w:rPr>
              <w:t>柳州市农业农村局</w:t>
            </w:r>
          </w:p>
        </w:tc>
        <w:tc>
          <w:tcPr>
            <w:tcW w:w="3934" w:type="dxa"/>
            <w:vAlign w:val="center"/>
          </w:tcPr>
          <w:p>
            <w:pPr>
              <w:widowControl w:val="0"/>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【法律】《中华人民共和国农业法》（1993年7月2日第八届全国人民代表大会常务委员会第二次会议通过</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2002年12月28日第九届全国人民代表大会常务委员会第三十一次会议修订</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根据2009年8月27日第十一届全国人民代表大会常务委员会</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第十次会议《关于修改部分法律的决定》第一次修正</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根据2012年12月28日</w:t>
            </w:r>
            <w:r>
              <w:rPr>
                <w:rFonts w:hint="eastAsia" w:ascii="宋体" w:hAnsi="宋体" w:cs="宋体"/>
                <w:color w:val="000000"/>
                <w:kern w:val="0"/>
                <w:sz w:val="20"/>
                <w:szCs w:val="20"/>
                <w:lang w:val="en-US" w:eastAsia="zh-CN"/>
              </w:rPr>
              <w:t>20</w:t>
            </w:r>
            <w:r>
              <w:rPr>
                <w:rFonts w:hint="eastAsia" w:ascii="宋体" w:hAnsi="宋体" w:cs="宋体"/>
                <w:color w:val="000000"/>
                <w:kern w:val="0"/>
                <w:sz w:val="20"/>
                <w:szCs w:val="20"/>
                <w:lang w:eastAsia="zh-CN"/>
              </w:rPr>
              <w:t>第十一届全国人民代表大会常务委员会</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第三十次会议《关于修改〈中华人民共和国农业法〉的决定》第二次修正）</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第八十七条　县级以上人民政府农业行政主管部门和有关行政主管部门应当加强规划、指导、管理、协调、监督、服务职责，依法行政，公正执法。</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第八十八条　县级以上人民政府农业行政主管部门及其执法人员履行执法监督检查职责时，有权采取下列措施：</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（一）要求被检查单位或者个人说明情况，提供有关文件、证照、资料；</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（二）责令被检查单位或者个人停止违反本法的行为，履行法定义务。</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农业行政执法人员在履行监督检查职责时，应当向被检查单位或者个人出示行政执法证件，遵守执法程序。有关单位或者个人应当配合农业行政执法人员依法执行职务，不得拒绝和阻碍。</w:t>
            </w:r>
          </w:p>
          <w:p>
            <w:pPr>
              <w:snapToGrid w:val="0"/>
              <w:ind w:firstLine="400" w:firstLineChars="200"/>
              <w:textAlignment w:val="baseline"/>
              <w:rPr>
                <w:rFonts w:hint="eastAsia" w:ascii="宋体" w:hAnsi="宋体" w:cs="宋体"/>
                <w:color w:val="000000"/>
                <w:kern w:val="0"/>
                <w:sz w:val="20"/>
                <w:szCs w:val="20"/>
                <w:lang w:val="en-US" w:eastAsia="zh-CN"/>
              </w:rPr>
            </w:pPr>
            <w:r>
              <w:rPr>
                <w:rFonts w:ascii="宋体" w:hAnsi="宋体" w:cs="宋体"/>
                <w:color w:val="000000"/>
                <w:kern w:val="0"/>
                <w:sz w:val="20"/>
                <w:szCs w:val="20"/>
              </w:rPr>
              <w:t>【</w:t>
            </w:r>
            <w:r>
              <w:rPr>
                <w:rFonts w:hint="eastAsia" w:ascii="宋体" w:hAnsi="宋体" w:cs="宋体"/>
                <w:color w:val="000000"/>
                <w:kern w:val="0"/>
                <w:sz w:val="20"/>
                <w:szCs w:val="20"/>
                <w:lang w:eastAsia="zh-CN"/>
              </w:rPr>
              <w:t>法律</w:t>
            </w:r>
            <w:r>
              <w:rPr>
                <w:rFonts w:ascii="宋体" w:hAnsi="宋体" w:cs="宋体"/>
                <w:color w:val="000000"/>
                <w:kern w:val="0"/>
                <w:sz w:val="20"/>
                <w:szCs w:val="20"/>
              </w:rPr>
              <w:t>】</w:t>
            </w:r>
            <w:r>
              <w:rPr>
                <w:rFonts w:hint="eastAsia" w:ascii="宋体" w:hAnsi="宋体" w:cs="宋体"/>
                <w:color w:val="000000"/>
                <w:kern w:val="0"/>
                <w:sz w:val="20"/>
                <w:szCs w:val="20"/>
                <w:lang w:val="en-US" w:eastAsia="zh-CN"/>
              </w:rPr>
              <w:t>《中华人民共和国种子法》（2000年7月8日第九届全国人民代表大会常务委员会第十六次会议通过根据2004年8月28日第十届全国人民代表大会常务委员会第十一次会议《关于修改〈中华人民共和国种子法〉的决定》第一次修正根据2013年6月29日第十二届全国人民代表大会常务委员会第三次会议《关于修改〈中华人民共和国文物保护法〉等十二部法律的决定》第二次修正2015年11月4日第十二届全国人民代表大会常务委员会第十七次会议修订）</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第三条 国务院农业、林业主管部门分别主管全国农作物种子和林木种子工作；县级以上地方人民政府农业、林业主管部门分别主管本行政区域内农作物种子和林木种子工作。</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第四十七条 农业、林业主管部门应当加强对种子质量的监督检查。种子质量管理办法、行业标准和检验方法，由国务院农业、林业主管部门制定。</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第五十条 农业、林业主管部门是种子行政执法机关。种子执法人员依法执行公务时应当出示行政执法证件。农业、林业主管部门依法履行种子监督检查职责时，有权采取下列措施：</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（一）进入生产经营场所进行现场检查；</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（二）对种子进行取样测试、试验或者检验；</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（三）查阅、复制有关合同、票据、账簿、生产经营档案及其他有关资料；</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（四）查封、扣押有证据证明违法生产经营的种子，以及用于违法生产经营的工具、设备及运输工具等；</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（五）查封违法从事种子生产经营活动的场所。</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农业、林业主管部门依照本法规定行使职权，当事人应当协助、配合，不得拒绝、阻挠。</w:t>
            </w:r>
          </w:p>
          <w:p>
            <w:pPr>
              <w:spacing w:line="260" w:lineRule="exact"/>
              <w:rPr>
                <w:rFonts w:hint="eastAsia" w:ascii="宋体" w:hAnsi="Calibri" w:eastAsia="宋体" w:cs="黑体"/>
                <w:kern w:val="2"/>
                <w:sz w:val="24"/>
                <w:szCs w:val="32"/>
                <w:lang w:val="en-US" w:eastAsia="zh-CN" w:bidi="ar-SA"/>
              </w:rPr>
            </w:pPr>
            <w:r>
              <w:rPr>
                <w:rFonts w:hint="eastAsia" w:ascii="宋体" w:hAnsi="宋体" w:cs="宋体"/>
                <w:color w:val="000000"/>
                <w:kern w:val="0"/>
                <w:sz w:val="20"/>
                <w:szCs w:val="20"/>
                <w:lang w:val="en-US" w:eastAsia="zh-CN"/>
              </w:rPr>
              <w:t>农业、林业主管部门所属的综合执法机构或者受其委托的种子管理机构，可以开展种子执法相关工作。</w:t>
            </w:r>
          </w:p>
        </w:tc>
        <w:tc>
          <w:tcPr>
            <w:tcW w:w="993" w:type="dxa"/>
            <w:vAlign w:val="center"/>
          </w:tcPr>
          <w:p>
            <w:pPr>
              <w:spacing w:line="260" w:lineRule="exact"/>
              <w:rPr>
                <w:rFonts w:ascii="宋体" w:hAnsi="Calibri" w:eastAsia="宋体" w:cs="黑体"/>
                <w:kern w:val="2"/>
                <w:sz w:val="24"/>
                <w:szCs w:val="32"/>
                <w:lang w:val="en-US" w:eastAsia="zh-CN" w:bidi="ar-SA"/>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7" w:hRule="atLeast"/>
          <w:jc w:val="center"/>
        </w:trPr>
        <w:tc>
          <w:tcPr>
            <w:tcW w:w="583" w:type="dxa"/>
            <w:vAlign w:val="center"/>
          </w:tcPr>
          <w:p>
            <w:pPr>
              <w:jc w:val="center"/>
              <w:rPr>
                <w:rFonts w:hint="default" w:ascii="宋体" w:hAnsi="Calibri" w:eastAsia="宋体" w:cs="黑体"/>
                <w:kern w:val="2"/>
                <w:sz w:val="24"/>
                <w:szCs w:val="32"/>
                <w:lang w:val="en-US" w:eastAsia="zh-CN" w:bidi="ar-SA"/>
              </w:rPr>
            </w:pPr>
            <w:r>
              <w:rPr>
                <w:rFonts w:hint="eastAsia" w:ascii="宋体" w:cs="黑体"/>
                <w:kern w:val="2"/>
                <w:sz w:val="24"/>
                <w:szCs w:val="32"/>
                <w:lang w:val="en-US" w:eastAsia="zh-CN" w:bidi="ar-SA"/>
              </w:rPr>
              <w:t>5</w:t>
            </w:r>
          </w:p>
        </w:tc>
        <w:tc>
          <w:tcPr>
            <w:tcW w:w="910" w:type="dxa"/>
            <w:vAlign w:val="center"/>
          </w:tcPr>
          <w:p>
            <w:pPr>
              <w:tabs>
                <w:tab w:val="left" w:pos="649"/>
              </w:tabs>
              <w:spacing w:line="336" w:lineRule="exact"/>
              <w:jc w:val="left"/>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rPr>
              <w:t>肥料监督检查</w:t>
            </w:r>
          </w:p>
        </w:tc>
        <w:tc>
          <w:tcPr>
            <w:tcW w:w="2146" w:type="dxa"/>
            <w:vAlign w:val="center"/>
          </w:tcPr>
          <w:p>
            <w:pPr>
              <w:spacing w:line="260" w:lineRule="exact"/>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lang w:eastAsia="zh-CN"/>
              </w:rPr>
              <w:t>肥料生产经营单位资质及市场行为</w:t>
            </w:r>
          </w:p>
        </w:tc>
        <w:tc>
          <w:tcPr>
            <w:tcW w:w="1894" w:type="dxa"/>
            <w:vAlign w:val="center"/>
          </w:tcPr>
          <w:p>
            <w:pPr>
              <w:ind w:left="0" w:leftChars="0" w:right="0" w:rightChars="0"/>
              <w:jc w:val="both"/>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lang w:eastAsia="zh-CN"/>
              </w:rPr>
              <w:t>柳州市市辖区内（不含柳江区）肥料生产经营企业</w:t>
            </w:r>
          </w:p>
        </w:tc>
        <w:tc>
          <w:tcPr>
            <w:tcW w:w="1069" w:type="dxa"/>
            <w:vAlign w:val="center"/>
          </w:tcPr>
          <w:p>
            <w:pPr>
              <w:spacing w:line="260" w:lineRule="exact"/>
              <w:jc w:val="left"/>
              <w:rPr>
                <w:rFonts w:hint="eastAsia" w:ascii="宋体" w:hAnsi="Calibri" w:eastAsia="宋体" w:cs="黑体"/>
                <w:kern w:val="2"/>
                <w:sz w:val="24"/>
                <w:szCs w:val="32"/>
                <w:lang w:val="en-US" w:eastAsia="zh-CN" w:bidi="ar-SA"/>
              </w:rPr>
            </w:pPr>
            <w:r>
              <w:rPr>
                <w:rFonts w:hint="eastAsia" w:ascii="宋体"/>
                <w:sz w:val="24"/>
                <w:szCs w:val="32"/>
              </w:rPr>
              <w:t>重点检查</w:t>
            </w:r>
          </w:p>
        </w:tc>
        <w:tc>
          <w:tcPr>
            <w:tcW w:w="1331" w:type="dxa"/>
            <w:vAlign w:val="center"/>
          </w:tcPr>
          <w:p>
            <w:pPr>
              <w:spacing w:line="260" w:lineRule="exact"/>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rPr>
              <w:t>现场检查</w:t>
            </w:r>
          </w:p>
        </w:tc>
        <w:tc>
          <w:tcPr>
            <w:tcW w:w="1391" w:type="dxa"/>
            <w:vAlign w:val="center"/>
          </w:tcPr>
          <w:p>
            <w:pPr>
              <w:spacing w:line="260" w:lineRule="exact"/>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lang w:eastAsia="zh-CN"/>
              </w:rPr>
              <w:t>柳州市农业农村局</w:t>
            </w:r>
          </w:p>
        </w:tc>
        <w:tc>
          <w:tcPr>
            <w:tcW w:w="3934" w:type="dxa"/>
            <w:vAlign w:val="center"/>
          </w:tcPr>
          <w:p>
            <w:pPr>
              <w:widowControl w:val="0"/>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【法律】《中华人民共和国农业法》（1993年7月2日第八届全国人民代表大会常务委员会第二次会议通过</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2002年12月28日第九届全国人民代表大会常务委员会第三十一次会议修订</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根据2009年8月27日第十一届全国人民代表大会常务委员会</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第十次会议《关于修改部分法律的决定》第一次修正</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根据2012年12月28日第十一届全国人民代表大会常务委员会</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第三十次会议《关于修改〈中华人民共和国农业法〉的决定》第二次修正）</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第八十七条　县级以上人民政府农业行政主管部门和有关行政主管部门应当加强规划、指导、管理、协调、监督、服务职责，依法行政，公正执法。</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第八十八条　县级以上人民政府农业行政主管部门及其执法人员履行执法监督检查职责时，有权采取下列措施：</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（一）要求被检查单位或者个人说明情况，提供有关文件、证照、资料；</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（二）责令被检查单位或者个人停止违反本法的行为，履行法定义务。</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农业行政执法人员在履行监督检查职责时，应当向被检查单位或者个人出示行政执法证件，遵守执法程序。有关单位或者个人应当配合农业行政执法人员依法执行职务，不得拒绝和阻碍。</w:t>
            </w:r>
          </w:p>
          <w:p>
            <w:pPr>
              <w:snapToGrid w:val="0"/>
              <w:ind w:firstLine="400" w:firstLineChars="200"/>
              <w:textAlignment w:val="baseline"/>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【部门规章】《肥料登记管理办法》（中华人民共和国农业部令第32号已于2000年6月12日经农业部常务会议通过2000年6月23日发布施行）</w:t>
            </w:r>
          </w:p>
          <w:p>
            <w:pPr>
              <w:snapToGrid w:val="0"/>
              <w:ind w:firstLine="400" w:firstLineChars="200"/>
              <w:textAlignment w:val="baseline"/>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第七条　农业部负责全国肥料登记和监督管理工作。</w:t>
            </w:r>
          </w:p>
          <w:p>
            <w:pPr>
              <w:snapToGrid w:val="0"/>
              <w:ind w:firstLine="400" w:firstLineChars="200"/>
              <w:textAlignment w:val="baseline"/>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省、自治区、直辖市人民政府农业行政主管部门协助农业部做好本行政区域内的肥料登记工作。</w:t>
            </w:r>
          </w:p>
          <w:p>
            <w:pPr>
              <w:snapToGrid w:val="0"/>
              <w:ind w:firstLine="400" w:firstLineChars="200"/>
              <w:textAlignment w:val="baseline"/>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县级以上地方人民政府农业行政主管部门负责本行政区域内的肥料监督管理工作。</w:t>
            </w:r>
          </w:p>
          <w:p>
            <w:pPr>
              <w:spacing w:line="260" w:lineRule="exact"/>
              <w:rPr>
                <w:rFonts w:hint="eastAsia" w:ascii="宋体" w:hAnsi="Calibri" w:eastAsia="宋体" w:cs="黑体"/>
                <w:kern w:val="2"/>
                <w:sz w:val="24"/>
                <w:szCs w:val="32"/>
                <w:lang w:val="en-US" w:eastAsia="zh-CN" w:bidi="ar-SA"/>
              </w:rPr>
            </w:pPr>
            <w:r>
              <w:rPr>
                <w:rFonts w:hint="eastAsia" w:ascii="宋体" w:hAnsi="宋体" w:eastAsia="宋体" w:cs="宋体"/>
                <w:kern w:val="0"/>
                <w:sz w:val="20"/>
                <w:szCs w:val="20"/>
                <w:lang w:val="en-US" w:eastAsia="zh-CN"/>
              </w:rPr>
              <w:t>第二十五条　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c>
          <w:tcPr>
            <w:tcW w:w="993" w:type="dxa"/>
            <w:vAlign w:val="center"/>
          </w:tcPr>
          <w:p>
            <w:pPr>
              <w:spacing w:line="260" w:lineRule="exact"/>
              <w:rPr>
                <w:rFonts w:ascii="宋体" w:hAnsi="Calibri" w:eastAsia="宋体" w:cs="黑体"/>
                <w:kern w:val="2"/>
                <w:sz w:val="24"/>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7" w:hRule="atLeast"/>
          <w:jc w:val="center"/>
        </w:trPr>
        <w:tc>
          <w:tcPr>
            <w:tcW w:w="583" w:type="dxa"/>
            <w:vAlign w:val="center"/>
          </w:tcPr>
          <w:p>
            <w:pPr>
              <w:jc w:val="center"/>
              <w:rPr>
                <w:rFonts w:hint="default" w:ascii="宋体" w:hAnsi="Calibri" w:eastAsia="宋体" w:cs="黑体"/>
                <w:kern w:val="2"/>
                <w:sz w:val="24"/>
                <w:szCs w:val="32"/>
                <w:lang w:val="en-US" w:eastAsia="zh-CN" w:bidi="ar-SA"/>
              </w:rPr>
            </w:pPr>
            <w:r>
              <w:rPr>
                <w:rFonts w:hint="eastAsia" w:ascii="宋体" w:cs="黑体"/>
                <w:kern w:val="2"/>
                <w:sz w:val="24"/>
                <w:szCs w:val="32"/>
                <w:lang w:val="en-US" w:eastAsia="zh-CN" w:bidi="ar-SA"/>
              </w:rPr>
              <w:t>6</w:t>
            </w:r>
          </w:p>
        </w:tc>
        <w:tc>
          <w:tcPr>
            <w:tcW w:w="910" w:type="dxa"/>
            <w:vAlign w:val="center"/>
          </w:tcPr>
          <w:p>
            <w:pPr>
              <w:tabs>
                <w:tab w:val="left" w:pos="649"/>
              </w:tabs>
              <w:spacing w:line="336" w:lineRule="exact"/>
              <w:jc w:val="left"/>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rPr>
              <w:t>农药检查</w:t>
            </w:r>
          </w:p>
        </w:tc>
        <w:tc>
          <w:tcPr>
            <w:tcW w:w="2146" w:type="dxa"/>
            <w:vAlign w:val="center"/>
          </w:tcPr>
          <w:p>
            <w:pPr>
              <w:spacing w:line="260" w:lineRule="exact"/>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rPr>
              <w:t>农药</w:t>
            </w:r>
            <w:r>
              <w:rPr>
                <w:rFonts w:hint="eastAsia" w:ascii="宋体" w:hAnsi="宋体" w:eastAsia="宋体" w:cs="宋体"/>
                <w:color w:val="auto"/>
                <w:sz w:val="21"/>
                <w:szCs w:val="21"/>
                <w:lang w:eastAsia="zh-CN"/>
              </w:rPr>
              <w:t>生产经营单位资质及市场行为</w:t>
            </w:r>
          </w:p>
        </w:tc>
        <w:tc>
          <w:tcPr>
            <w:tcW w:w="1894" w:type="dxa"/>
            <w:vAlign w:val="center"/>
          </w:tcPr>
          <w:p>
            <w:pPr>
              <w:ind w:left="0" w:leftChars="0" w:right="0" w:rightChars="0"/>
              <w:jc w:val="both"/>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lang w:eastAsia="zh-CN"/>
              </w:rPr>
              <w:t>柳州市市辖区内（不含柳江区）农药生产经营企业</w:t>
            </w:r>
          </w:p>
        </w:tc>
        <w:tc>
          <w:tcPr>
            <w:tcW w:w="1069" w:type="dxa"/>
            <w:vAlign w:val="center"/>
          </w:tcPr>
          <w:p>
            <w:pPr>
              <w:spacing w:line="260" w:lineRule="exact"/>
              <w:jc w:val="left"/>
              <w:rPr>
                <w:rFonts w:hint="eastAsia" w:ascii="宋体" w:hAnsi="Calibri" w:eastAsia="宋体" w:cs="黑体"/>
                <w:kern w:val="2"/>
                <w:sz w:val="24"/>
                <w:szCs w:val="32"/>
                <w:lang w:val="en-US" w:eastAsia="zh-CN" w:bidi="ar-SA"/>
              </w:rPr>
            </w:pPr>
            <w:r>
              <w:rPr>
                <w:rFonts w:hint="eastAsia" w:ascii="宋体"/>
                <w:sz w:val="24"/>
                <w:szCs w:val="32"/>
              </w:rPr>
              <w:t>重点检查</w:t>
            </w:r>
          </w:p>
        </w:tc>
        <w:tc>
          <w:tcPr>
            <w:tcW w:w="1331" w:type="dxa"/>
            <w:vAlign w:val="center"/>
          </w:tcPr>
          <w:p>
            <w:pPr>
              <w:spacing w:line="260" w:lineRule="exact"/>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rPr>
              <w:t>现场检查</w:t>
            </w:r>
          </w:p>
        </w:tc>
        <w:tc>
          <w:tcPr>
            <w:tcW w:w="1391" w:type="dxa"/>
            <w:vAlign w:val="center"/>
          </w:tcPr>
          <w:p>
            <w:pPr>
              <w:spacing w:line="260" w:lineRule="exact"/>
              <w:rPr>
                <w:rFonts w:hint="eastAsia" w:ascii="宋体" w:hAnsi="Calibri" w:eastAsia="宋体" w:cs="黑体"/>
                <w:kern w:val="2"/>
                <w:sz w:val="24"/>
                <w:szCs w:val="32"/>
                <w:lang w:val="en-US" w:eastAsia="zh-CN" w:bidi="ar-SA"/>
              </w:rPr>
            </w:pPr>
            <w:r>
              <w:rPr>
                <w:rFonts w:hint="eastAsia" w:ascii="宋体" w:hAnsi="宋体" w:eastAsia="宋体" w:cs="宋体"/>
                <w:color w:val="auto"/>
                <w:sz w:val="21"/>
                <w:szCs w:val="21"/>
                <w:lang w:eastAsia="zh-CN"/>
              </w:rPr>
              <w:t>柳州市农业农村局</w:t>
            </w:r>
          </w:p>
        </w:tc>
        <w:tc>
          <w:tcPr>
            <w:tcW w:w="3934" w:type="dxa"/>
            <w:vAlign w:val="center"/>
          </w:tcPr>
          <w:p>
            <w:pPr>
              <w:widowControl w:val="0"/>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【法律】《中华人民共和国农业法》（1993年7月2日第八届全国人民代表大会常务委员会第二次会议通过</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2002年12月28日第九届全国人民代表大会常务委员会第三十一次会议修订</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根据2009年8月27日第十一届全国人民代表大会常务委员会</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第十次会议《关于修改部分法律的决定》第一次修正</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根据2012年12月28日第十一届全国人民代表大会常务委员会</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第三十次会议《关于修改〈中华人民共和国农业法〉的决定》第二次修正）</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第八十七条　县级以上人民政府农业行政主管部门和有关行政主管部门应当加强规划、指导、管理、协调、监督、服务职责，依法行政，公正执法。</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第八十八条　县级以上人民政府农业行政主管部门及其执法人员履行执法监督检查职责时，有权采取下列措施：</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（一）要求被检查单位或者个人说明情况，提供有关文件、证照、资料；</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（二）责令被检查单位或者个人停止违反本法的行为，履行法定义务。</w:t>
            </w:r>
          </w:p>
          <w:p>
            <w:pPr>
              <w:widowControl w:val="0"/>
              <w:numPr>
                <w:ilvl w:val="0"/>
                <w:numId w:val="0"/>
              </w:numPr>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农业行政执法人员在履行监督检查职责时，应当向被检查单位或者个人出示行政执法证件，遵守执法程序。有关单位或者个人应当配合农业行政执法人员依法执行职务，不得拒绝和阻碍。</w:t>
            </w:r>
          </w:p>
          <w:p>
            <w:pPr>
              <w:widowControl w:val="0"/>
              <w:wordWrap/>
              <w:adjustRightInd/>
              <w:snapToGrid w:val="0"/>
              <w:spacing w:before="0" w:after="0" w:line="240" w:lineRule="auto"/>
              <w:ind w:left="0" w:leftChars="0" w:right="0" w:firstLine="400" w:firstLineChars="200"/>
              <w:jc w:val="both"/>
              <w:textAlignment w:val="baseline"/>
              <w:outlineLvl w:val="9"/>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【行政法规】《中华人民共和国农药管理条例》（1997年5月8日中华人民共和国国务院令第216号发布根据2001年11月29日《国务院关于修改〈农药管理条例〉的决定》修订　2017年2月8日国务院第164次常务会议修订通过）</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第三条　国务院农业主管部门负责全国的农药监督管理工作。</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县级以上地方人民政府农业主管部门负责本行政区域的农药监督管理工作。</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县级以上人民政府其他有关部门在各自职责范围内负责有关的农药监督管理工作。</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第四十一条　县级以上人民政府农业主管部门履行农药监督管理职责，可以依法采取下列措施：</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（一）进入农药生产、经营、使用场所实施现场检查；</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（二）对生产、经营、使用的农药实施抽查检测；</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（三）向有关人员调查了解有关情况；</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（四）查阅、复制合同、票据、账簿以及其他有关资料；</w:t>
            </w:r>
          </w:p>
          <w:p>
            <w:pPr>
              <w:snapToGrid w:val="0"/>
              <w:ind w:firstLine="400" w:firstLineChars="200"/>
              <w:textAlignment w:val="baseline"/>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（五）查封、扣押违法生产、经营、使用的农药，以及用于违法生产、经营、使用农药的工具、设备、原材料等；</w:t>
            </w:r>
          </w:p>
          <w:p>
            <w:pPr>
              <w:spacing w:line="260" w:lineRule="exact"/>
              <w:rPr>
                <w:rFonts w:hint="eastAsia" w:ascii="宋体" w:hAnsi="Calibri" w:eastAsia="宋体" w:cs="黑体"/>
                <w:kern w:val="2"/>
                <w:sz w:val="24"/>
                <w:szCs w:val="32"/>
                <w:lang w:val="en-US" w:eastAsia="zh-CN" w:bidi="ar-SA"/>
              </w:rPr>
            </w:pPr>
            <w:r>
              <w:rPr>
                <w:rFonts w:hint="eastAsia" w:ascii="宋体" w:hAnsi="宋体" w:cs="宋体"/>
                <w:color w:val="000000"/>
                <w:kern w:val="0"/>
                <w:sz w:val="20"/>
                <w:szCs w:val="20"/>
                <w:lang w:val="en-US" w:eastAsia="zh-CN"/>
              </w:rPr>
              <w:t>（六）查封违法生产、经营、使用农药的场所。</w:t>
            </w:r>
          </w:p>
        </w:tc>
        <w:tc>
          <w:tcPr>
            <w:tcW w:w="993" w:type="dxa"/>
            <w:vAlign w:val="center"/>
          </w:tcPr>
          <w:p>
            <w:pPr>
              <w:spacing w:line="260" w:lineRule="exact"/>
              <w:rPr>
                <w:rFonts w:ascii="宋体" w:hAnsi="Calibri" w:eastAsia="宋体" w:cs="黑体"/>
                <w:kern w:val="2"/>
                <w:sz w:val="24"/>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2" w:hRule="atLeast"/>
          <w:jc w:val="center"/>
        </w:trPr>
        <w:tc>
          <w:tcPr>
            <w:tcW w:w="583" w:type="dxa"/>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7</w:t>
            </w:r>
          </w:p>
        </w:tc>
        <w:tc>
          <w:tcPr>
            <w:tcW w:w="910" w:type="dxa"/>
            <w:vAlign w:val="center"/>
          </w:tcPr>
          <w:p>
            <w:pPr>
              <w:tabs>
                <w:tab w:val="left" w:pos="649"/>
              </w:tabs>
              <w:spacing w:line="336" w:lineRule="exact"/>
              <w:jc w:val="left"/>
              <w:rPr>
                <w:rFonts w:hint="eastAsia" w:ascii="宋体" w:hAnsi="宋体" w:eastAsia="宋体" w:cs="宋体"/>
                <w:color w:val="auto"/>
                <w:sz w:val="21"/>
                <w:szCs w:val="21"/>
              </w:rPr>
            </w:pPr>
          </w:p>
        </w:tc>
        <w:tc>
          <w:tcPr>
            <w:tcW w:w="2146" w:type="dxa"/>
            <w:vAlign w:val="center"/>
          </w:tcPr>
          <w:p>
            <w:pPr>
              <w:spacing w:line="260" w:lineRule="exact"/>
              <w:rPr>
                <w:rFonts w:hint="eastAsia" w:ascii="宋体" w:hAnsi="宋体" w:cs="宋体"/>
                <w:snapToGrid w:val="0"/>
                <w:color w:val="000000"/>
                <w:kern w:val="0"/>
                <w:szCs w:val="21"/>
              </w:rPr>
            </w:pPr>
            <w:r>
              <w:rPr>
                <w:rFonts w:hint="eastAsia" w:ascii="宋体" w:hAnsi="宋体" w:cs="宋体"/>
                <w:snapToGrid w:val="0"/>
                <w:color w:val="000000"/>
                <w:kern w:val="0"/>
                <w:szCs w:val="21"/>
              </w:rPr>
              <w:t>渔船的安全设施、设备配备和使用情况检查</w:t>
            </w:r>
          </w:p>
        </w:tc>
        <w:tc>
          <w:tcPr>
            <w:tcW w:w="1894" w:type="dxa"/>
            <w:vAlign w:val="center"/>
          </w:tcPr>
          <w:p>
            <w:pPr>
              <w:ind w:left="0" w:leftChars="0" w:right="0" w:rightChars="0"/>
              <w:jc w:val="both"/>
              <w:rPr>
                <w:rFonts w:hint="eastAsia" w:ascii="宋体" w:hAnsi="宋体" w:cs="宋体"/>
                <w:snapToGrid w:val="0"/>
                <w:color w:val="000000"/>
                <w:kern w:val="0"/>
                <w:szCs w:val="21"/>
              </w:rPr>
            </w:pPr>
            <w:r>
              <w:rPr>
                <w:rFonts w:hint="eastAsia" w:ascii="宋体" w:hAnsi="宋体" w:cs="宋体"/>
                <w:snapToGrid w:val="0"/>
                <w:color w:val="000000"/>
                <w:kern w:val="0"/>
                <w:szCs w:val="21"/>
              </w:rPr>
              <w:t>渔业船舶的所有者或者经营者</w:t>
            </w:r>
          </w:p>
        </w:tc>
        <w:tc>
          <w:tcPr>
            <w:tcW w:w="1069" w:type="dxa"/>
            <w:vAlign w:val="center"/>
          </w:tcPr>
          <w:p>
            <w:pPr>
              <w:spacing w:line="260" w:lineRule="exact"/>
              <w:jc w:val="left"/>
              <w:rPr>
                <w:rFonts w:hint="eastAsia" w:ascii="宋体" w:eastAsia="宋体"/>
                <w:sz w:val="24"/>
                <w:szCs w:val="32"/>
                <w:lang w:eastAsia="zh-CN"/>
              </w:rPr>
            </w:pPr>
            <w:r>
              <w:rPr>
                <w:rFonts w:hint="eastAsia" w:ascii="宋体"/>
                <w:sz w:val="24"/>
                <w:szCs w:val="32"/>
                <w:lang w:eastAsia="zh-CN"/>
              </w:rPr>
              <w:t>重点检查</w:t>
            </w:r>
          </w:p>
        </w:tc>
        <w:tc>
          <w:tcPr>
            <w:tcW w:w="1331" w:type="dxa"/>
            <w:vAlign w:val="center"/>
          </w:tcPr>
          <w:p>
            <w:pPr>
              <w:spacing w:line="260" w:lineRule="exact"/>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现场检查</w:t>
            </w:r>
          </w:p>
        </w:tc>
        <w:tc>
          <w:tcPr>
            <w:tcW w:w="1391" w:type="dxa"/>
            <w:vAlign w:val="center"/>
          </w:tcPr>
          <w:p>
            <w:pPr>
              <w:jc w:val="center"/>
              <w:rPr>
                <w:rFonts w:hint="eastAsia" w:ascii="宋体" w:hAnsi="宋体" w:eastAsia="宋体" w:cs="宋体"/>
                <w:snapToGrid w:val="0"/>
                <w:color w:val="000000"/>
                <w:kern w:val="0"/>
                <w:sz w:val="21"/>
                <w:szCs w:val="21"/>
                <w:lang w:val="en-US" w:eastAsia="zh-CN" w:bidi="ar-SA"/>
              </w:rPr>
            </w:pPr>
            <w:r>
              <w:rPr>
                <w:rFonts w:hint="eastAsia" w:ascii="宋体" w:hAnsi="宋体" w:cs="宋体"/>
                <w:snapToGrid w:val="0"/>
                <w:color w:val="000000"/>
                <w:kern w:val="0"/>
                <w:szCs w:val="21"/>
              </w:rPr>
              <w:t>柳州市</w:t>
            </w:r>
            <w:r>
              <w:rPr>
                <w:rFonts w:hint="eastAsia" w:ascii="宋体" w:hAnsi="宋体" w:cs="宋体"/>
                <w:snapToGrid w:val="0"/>
                <w:color w:val="000000"/>
                <w:kern w:val="0"/>
                <w:szCs w:val="21"/>
                <w:lang w:eastAsia="zh-CN"/>
              </w:rPr>
              <w:t>农业综合行政执法支队</w:t>
            </w:r>
          </w:p>
        </w:tc>
        <w:tc>
          <w:tcPr>
            <w:tcW w:w="3934" w:type="dxa"/>
            <w:vAlign w:val="center"/>
          </w:tcPr>
          <w:p>
            <w:pPr>
              <w:spacing w:line="260" w:lineRule="exact"/>
              <w:rPr>
                <w:rFonts w:hint="eastAsia" w:ascii="宋体" w:hAnsi="宋体" w:cs="宋体"/>
                <w:snapToGrid w:val="0"/>
                <w:color w:val="000000"/>
                <w:kern w:val="0"/>
                <w:szCs w:val="21"/>
              </w:rPr>
            </w:pPr>
            <w:r>
              <w:rPr>
                <w:rFonts w:hint="eastAsia" w:ascii="宋体" w:hAnsi="宋体" w:cs="宋体"/>
                <w:snapToGrid w:val="0"/>
                <w:color w:val="000000"/>
                <w:kern w:val="0"/>
                <w:szCs w:val="21"/>
              </w:rPr>
              <w:t>《广西壮族自治区渔港渔业船舶管理条例》第三条 县级以上人民政府渔业行政主管部门依照渔港隶属关系主管本行政区域内的渔港渔业船舶管理工作，其所属的渔政渔港监督管理机构和渔业船舶检验机构按照各自法定职责，具体实施渔港渔业船舶管理和渔业船舶检验工作。</w:t>
            </w:r>
          </w:p>
        </w:tc>
        <w:tc>
          <w:tcPr>
            <w:tcW w:w="993" w:type="dxa"/>
            <w:vAlign w:val="center"/>
          </w:tcPr>
          <w:p>
            <w:pPr>
              <w:spacing w:line="260" w:lineRule="exact"/>
              <w:rPr>
                <w:rFonts w:ascii="宋体" w:hAnsi="Calibri" w:eastAsia="宋体" w:cs="黑体"/>
                <w:kern w:val="2"/>
                <w:sz w:val="24"/>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3" w:hRule="atLeast"/>
          <w:jc w:val="center"/>
        </w:trPr>
        <w:tc>
          <w:tcPr>
            <w:tcW w:w="583" w:type="dxa"/>
            <w:noWrap w:val="0"/>
            <w:vAlign w:val="center"/>
          </w:tcPr>
          <w:p>
            <w:pPr>
              <w:spacing w:line="460" w:lineRule="exact"/>
              <w:jc w:val="center"/>
              <w:rPr>
                <w:rFonts w:hint="default" w:ascii="宋体" w:eastAsia="宋体"/>
                <w:sz w:val="24"/>
                <w:szCs w:val="32"/>
                <w:lang w:val="en-US" w:eastAsia="zh-CN"/>
              </w:rPr>
            </w:pPr>
            <w:r>
              <w:rPr>
                <w:rFonts w:hint="eastAsia" w:ascii="宋体"/>
                <w:sz w:val="24"/>
                <w:szCs w:val="32"/>
                <w:lang w:val="en-US" w:eastAsia="zh-CN"/>
              </w:rPr>
              <w:t>8</w:t>
            </w:r>
          </w:p>
        </w:tc>
        <w:tc>
          <w:tcPr>
            <w:tcW w:w="910" w:type="dxa"/>
            <w:noWrap w:val="0"/>
            <w:vAlign w:val="center"/>
          </w:tcPr>
          <w:p>
            <w:pPr>
              <w:spacing w:line="460" w:lineRule="exact"/>
              <w:jc w:val="center"/>
              <w:rPr>
                <w:rFonts w:ascii="宋体"/>
                <w:sz w:val="24"/>
                <w:szCs w:val="32"/>
              </w:rPr>
            </w:pPr>
            <w:r>
              <w:rPr>
                <w:rFonts w:hint="eastAsia" w:ascii="宋体"/>
                <w:sz w:val="24"/>
                <w:szCs w:val="32"/>
              </w:rPr>
              <w:t>定点屠宰企业监管</w:t>
            </w:r>
          </w:p>
        </w:tc>
        <w:tc>
          <w:tcPr>
            <w:tcW w:w="2146" w:type="dxa"/>
            <w:noWrap w:val="0"/>
            <w:vAlign w:val="center"/>
          </w:tcPr>
          <w:p>
            <w:pPr>
              <w:spacing w:line="460" w:lineRule="exact"/>
              <w:rPr>
                <w:rFonts w:ascii="宋体"/>
                <w:sz w:val="24"/>
                <w:szCs w:val="32"/>
              </w:rPr>
            </w:pPr>
            <w:r>
              <w:rPr>
                <w:rFonts w:hint="eastAsia" w:ascii="宋体"/>
                <w:sz w:val="24"/>
                <w:szCs w:val="32"/>
              </w:rPr>
              <w:t>监督检查</w:t>
            </w:r>
          </w:p>
        </w:tc>
        <w:tc>
          <w:tcPr>
            <w:tcW w:w="1894" w:type="dxa"/>
            <w:noWrap w:val="0"/>
            <w:vAlign w:val="center"/>
          </w:tcPr>
          <w:p>
            <w:pPr>
              <w:spacing w:line="460" w:lineRule="exact"/>
              <w:rPr>
                <w:rFonts w:ascii="宋体"/>
                <w:sz w:val="24"/>
                <w:szCs w:val="32"/>
              </w:rPr>
            </w:pPr>
            <w:r>
              <w:rPr>
                <w:rFonts w:hint="eastAsia" w:ascii="宋体"/>
                <w:sz w:val="24"/>
                <w:szCs w:val="32"/>
              </w:rPr>
              <w:t>全市定点屠宰企业</w:t>
            </w:r>
          </w:p>
        </w:tc>
        <w:tc>
          <w:tcPr>
            <w:tcW w:w="1069" w:type="dxa"/>
            <w:noWrap w:val="0"/>
            <w:vAlign w:val="center"/>
          </w:tcPr>
          <w:p>
            <w:pPr>
              <w:spacing w:line="460" w:lineRule="exact"/>
              <w:rPr>
                <w:rFonts w:ascii="宋体"/>
                <w:sz w:val="24"/>
                <w:szCs w:val="32"/>
              </w:rPr>
            </w:pPr>
            <w:r>
              <w:rPr>
                <w:rFonts w:hint="eastAsia" w:ascii="宋体"/>
                <w:sz w:val="24"/>
                <w:szCs w:val="32"/>
              </w:rPr>
              <w:t>重点检查</w:t>
            </w:r>
          </w:p>
        </w:tc>
        <w:tc>
          <w:tcPr>
            <w:tcW w:w="1331" w:type="dxa"/>
            <w:noWrap w:val="0"/>
            <w:vAlign w:val="center"/>
          </w:tcPr>
          <w:p>
            <w:pPr>
              <w:spacing w:line="460" w:lineRule="exact"/>
              <w:rPr>
                <w:rFonts w:ascii="宋体"/>
                <w:sz w:val="24"/>
                <w:szCs w:val="32"/>
              </w:rPr>
            </w:pPr>
            <w:r>
              <w:rPr>
                <w:rFonts w:hint="eastAsia" w:ascii="宋体"/>
                <w:sz w:val="24"/>
                <w:szCs w:val="32"/>
              </w:rPr>
              <w:t>现场检查</w:t>
            </w:r>
          </w:p>
        </w:tc>
        <w:tc>
          <w:tcPr>
            <w:tcW w:w="1391" w:type="dxa"/>
            <w:noWrap w:val="0"/>
            <w:vAlign w:val="center"/>
          </w:tcPr>
          <w:p>
            <w:pPr>
              <w:spacing w:line="460" w:lineRule="exact"/>
              <w:rPr>
                <w:rFonts w:ascii="宋体"/>
                <w:sz w:val="24"/>
                <w:szCs w:val="32"/>
              </w:rPr>
            </w:pPr>
            <w:r>
              <w:rPr>
                <w:rFonts w:hint="eastAsia" w:ascii="宋体"/>
                <w:sz w:val="24"/>
                <w:szCs w:val="32"/>
              </w:rPr>
              <w:t>县级以上人民政府农业主管部门</w:t>
            </w:r>
          </w:p>
        </w:tc>
        <w:tc>
          <w:tcPr>
            <w:tcW w:w="3934" w:type="dxa"/>
            <w:noWrap w:val="0"/>
            <w:vAlign w:val="center"/>
          </w:tcPr>
          <w:p>
            <w:pPr>
              <w:spacing w:line="460" w:lineRule="exact"/>
              <w:rPr>
                <w:rFonts w:hint="eastAsia" w:ascii="宋体"/>
                <w:sz w:val="24"/>
                <w:szCs w:val="32"/>
              </w:rPr>
            </w:pPr>
            <w:r>
              <w:rPr>
                <w:rFonts w:ascii="Arial" w:hAnsi="Arial" w:cs="Arial"/>
                <w:color w:val="333333"/>
                <w:sz w:val="18"/>
                <w:szCs w:val="18"/>
                <w:shd w:val="clear" w:color="auto" w:fill="FFFFFF"/>
              </w:rPr>
              <w:t>国务院第201次常务会议修订通过，</w:t>
            </w:r>
            <w:r>
              <w:rPr>
                <w:sz w:val="18"/>
                <w:szCs w:val="18"/>
              </w:rPr>
              <w:fldChar w:fldCharType="begin"/>
            </w:r>
            <w:r>
              <w:rPr>
                <w:sz w:val="18"/>
                <w:szCs w:val="18"/>
              </w:rPr>
              <w:instrText xml:space="preserve"> HYPERLINK "https://baike.baidu.com/item/%E4%B8%AD%E5%8D%8E%E4%BA%BA%E6%B0%91%E5%85%B1%E5%92%8C%E5%9B%BD%E5%9B%BD%E5%8A%A1%E9%99%A2%E4%BB%A4" \t "_blank" </w:instrText>
            </w:r>
            <w:r>
              <w:rPr>
                <w:sz w:val="18"/>
                <w:szCs w:val="18"/>
              </w:rPr>
              <w:fldChar w:fldCharType="separate"/>
            </w:r>
            <w:r>
              <w:rPr>
                <w:rStyle w:val="6"/>
                <w:rFonts w:ascii="Arial" w:hAnsi="Arial" w:cs="Arial"/>
                <w:color w:val="136EC2"/>
                <w:sz w:val="18"/>
                <w:szCs w:val="18"/>
                <w:shd w:val="clear" w:color="auto" w:fill="FFFFFF"/>
              </w:rPr>
              <w:t>中华人民共和国国务院令</w:t>
            </w:r>
            <w:r>
              <w:rPr>
                <w:sz w:val="18"/>
                <w:szCs w:val="18"/>
              </w:rPr>
              <w:fldChar w:fldCharType="end"/>
            </w:r>
            <w:r>
              <w:rPr>
                <w:rFonts w:ascii="Arial" w:hAnsi="Arial" w:cs="Arial"/>
                <w:color w:val="333333"/>
                <w:sz w:val="18"/>
                <w:szCs w:val="18"/>
                <w:shd w:val="clear" w:color="auto" w:fill="FFFFFF"/>
              </w:rPr>
              <w:t>第238号发布《生猪屠宰管理条例》。2008年5月25日，中华人民共和国国务院令第525号公布，自2008年8月1日起施行。2011年1月8日《国务院关于废止和修改部分行政法规的决定》第二次修订，2016年1月13日国务院第119次常务会议第三次修订，于2016年3月1日发布施行。第二十一条</w:t>
            </w:r>
            <w:r>
              <w:rPr>
                <w:rFonts w:hint="eastAsia" w:ascii="Arial" w:hAnsi="Arial" w:cs="Arial"/>
                <w:color w:val="333333"/>
                <w:sz w:val="18"/>
                <w:szCs w:val="18"/>
                <w:shd w:val="clear" w:color="auto" w:fill="FFFFFF"/>
              </w:rPr>
              <w:t>、第二十五条至第二十九条</w:t>
            </w:r>
          </w:p>
        </w:tc>
        <w:tc>
          <w:tcPr>
            <w:tcW w:w="993" w:type="dxa"/>
            <w:noWrap w:val="0"/>
            <w:vAlign w:val="center"/>
          </w:tcPr>
          <w:p>
            <w:pPr>
              <w:spacing w:line="460" w:lineRule="exact"/>
              <w:rPr>
                <w:rFonts w:ascii="宋体" w:hAnsi="宋体"/>
                <w:szCs w:val="21"/>
              </w:rPr>
            </w:pPr>
            <w:r>
              <w:rPr>
                <w:rFonts w:hint="eastAsia" w:ascii="宋体" w:hAnsi="宋体" w:cs="仿宋_GB2312"/>
                <w:color w:val="000000"/>
                <w:kern w:val="0"/>
                <w:szCs w:val="21"/>
              </w:rPr>
              <w:t>兽医科、质量安全与法规科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3" w:hRule="atLeast"/>
          <w:jc w:val="center"/>
        </w:trPr>
        <w:tc>
          <w:tcPr>
            <w:tcW w:w="583" w:type="dxa"/>
            <w:noWrap w:val="0"/>
            <w:vAlign w:val="center"/>
          </w:tcPr>
          <w:p>
            <w:pPr>
              <w:spacing w:line="460" w:lineRule="exact"/>
              <w:jc w:val="center"/>
              <w:rPr>
                <w:rFonts w:hint="default" w:ascii="宋体" w:eastAsia="宋体"/>
                <w:sz w:val="24"/>
                <w:szCs w:val="32"/>
                <w:lang w:val="en-US" w:eastAsia="zh-CN"/>
              </w:rPr>
            </w:pPr>
            <w:r>
              <w:rPr>
                <w:rFonts w:hint="eastAsia" w:ascii="宋体"/>
                <w:sz w:val="24"/>
                <w:szCs w:val="32"/>
                <w:lang w:val="en-US" w:eastAsia="zh-CN"/>
              </w:rPr>
              <w:t>9</w:t>
            </w:r>
          </w:p>
        </w:tc>
        <w:tc>
          <w:tcPr>
            <w:tcW w:w="910" w:type="dxa"/>
            <w:noWrap w:val="0"/>
            <w:vAlign w:val="center"/>
          </w:tcPr>
          <w:p>
            <w:pPr>
              <w:spacing w:line="460" w:lineRule="exact"/>
              <w:jc w:val="center"/>
              <w:rPr>
                <w:rFonts w:hint="eastAsia" w:ascii="宋体"/>
                <w:sz w:val="24"/>
                <w:szCs w:val="32"/>
              </w:rPr>
            </w:pPr>
            <w:r>
              <w:rPr>
                <w:rFonts w:hint="eastAsia" w:ascii="宋体"/>
                <w:sz w:val="24"/>
                <w:szCs w:val="32"/>
              </w:rPr>
              <w:t>查处私屠滥宰违法案件</w:t>
            </w:r>
          </w:p>
        </w:tc>
        <w:tc>
          <w:tcPr>
            <w:tcW w:w="2146" w:type="dxa"/>
            <w:noWrap w:val="0"/>
            <w:vAlign w:val="center"/>
          </w:tcPr>
          <w:p>
            <w:pPr>
              <w:spacing w:line="460" w:lineRule="exact"/>
              <w:rPr>
                <w:rFonts w:ascii="宋体"/>
                <w:sz w:val="24"/>
                <w:szCs w:val="32"/>
              </w:rPr>
            </w:pPr>
            <w:r>
              <w:rPr>
                <w:rFonts w:ascii="Arial" w:hAnsi="Arial" w:cs="Arial"/>
                <w:color w:val="333333"/>
                <w:szCs w:val="21"/>
                <w:shd w:val="clear" w:color="auto" w:fill="FFFFFF"/>
              </w:rPr>
              <w:t>未经定点，单位和个人从事生猪屠宰活动</w:t>
            </w:r>
          </w:p>
        </w:tc>
        <w:tc>
          <w:tcPr>
            <w:tcW w:w="1894" w:type="dxa"/>
            <w:noWrap w:val="0"/>
            <w:vAlign w:val="center"/>
          </w:tcPr>
          <w:p>
            <w:pPr>
              <w:spacing w:line="460" w:lineRule="exact"/>
              <w:rPr>
                <w:rFonts w:ascii="宋体"/>
                <w:sz w:val="24"/>
                <w:szCs w:val="32"/>
              </w:rPr>
            </w:pPr>
            <w:r>
              <w:rPr>
                <w:rFonts w:hint="eastAsia" w:ascii="宋体"/>
                <w:sz w:val="24"/>
                <w:szCs w:val="32"/>
              </w:rPr>
              <w:t>柳州市辖区内</w:t>
            </w:r>
          </w:p>
        </w:tc>
        <w:tc>
          <w:tcPr>
            <w:tcW w:w="1069" w:type="dxa"/>
            <w:noWrap w:val="0"/>
            <w:vAlign w:val="center"/>
          </w:tcPr>
          <w:p>
            <w:pPr>
              <w:spacing w:line="460" w:lineRule="exact"/>
              <w:rPr>
                <w:rFonts w:ascii="宋体"/>
                <w:sz w:val="24"/>
                <w:szCs w:val="32"/>
              </w:rPr>
            </w:pPr>
            <w:r>
              <w:rPr>
                <w:rFonts w:hint="eastAsia" w:ascii="宋体"/>
                <w:sz w:val="24"/>
                <w:szCs w:val="32"/>
              </w:rPr>
              <w:t>重点检查</w:t>
            </w:r>
          </w:p>
        </w:tc>
        <w:tc>
          <w:tcPr>
            <w:tcW w:w="1331" w:type="dxa"/>
            <w:noWrap w:val="0"/>
            <w:vAlign w:val="center"/>
          </w:tcPr>
          <w:p>
            <w:pPr>
              <w:spacing w:line="460" w:lineRule="exact"/>
              <w:rPr>
                <w:rFonts w:ascii="宋体"/>
                <w:sz w:val="24"/>
                <w:szCs w:val="32"/>
              </w:rPr>
            </w:pPr>
            <w:r>
              <w:rPr>
                <w:rFonts w:hint="eastAsia" w:ascii="宋体"/>
                <w:sz w:val="24"/>
                <w:szCs w:val="32"/>
              </w:rPr>
              <w:t>现场检查</w:t>
            </w:r>
          </w:p>
        </w:tc>
        <w:tc>
          <w:tcPr>
            <w:tcW w:w="1391" w:type="dxa"/>
            <w:noWrap w:val="0"/>
            <w:vAlign w:val="center"/>
          </w:tcPr>
          <w:p>
            <w:pPr>
              <w:spacing w:line="460" w:lineRule="exact"/>
              <w:rPr>
                <w:rFonts w:ascii="宋体" w:hAnsi="宋体" w:cs="仿宋_GB2312"/>
                <w:color w:val="000000"/>
                <w:kern w:val="0"/>
                <w:szCs w:val="21"/>
              </w:rPr>
            </w:pPr>
            <w:r>
              <w:rPr>
                <w:rFonts w:hint="eastAsia" w:ascii="宋体" w:hAnsi="宋体" w:cs="仿宋_GB2312"/>
                <w:color w:val="000000"/>
                <w:kern w:val="0"/>
                <w:szCs w:val="21"/>
              </w:rPr>
              <w:t>县级以上人民政府农业主管部门</w:t>
            </w:r>
          </w:p>
        </w:tc>
        <w:tc>
          <w:tcPr>
            <w:tcW w:w="3934" w:type="dxa"/>
            <w:noWrap w:val="0"/>
            <w:vAlign w:val="center"/>
          </w:tcPr>
          <w:p>
            <w:pPr>
              <w:spacing w:line="460" w:lineRule="exact"/>
              <w:rPr>
                <w:rFonts w:ascii="宋体" w:hAnsi="宋体" w:cs="仿宋_GB2312"/>
                <w:color w:val="000000"/>
                <w:kern w:val="0"/>
                <w:szCs w:val="21"/>
              </w:rPr>
            </w:pPr>
            <w:r>
              <w:rPr>
                <w:rFonts w:ascii="宋体" w:hAnsi="宋体" w:cs="仿宋_GB2312"/>
                <w:color w:val="000000"/>
                <w:kern w:val="0"/>
                <w:szCs w:val="21"/>
              </w:rPr>
              <w:t>《生猪屠宰管理条例》</w:t>
            </w:r>
            <w:r>
              <w:rPr>
                <w:rFonts w:hint="eastAsia" w:ascii="宋体" w:hAnsi="宋体" w:cs="仿宋_GB2312"/>
                <w:color w:val="000000"/>
                <w:kern w:val="0"/>
                <w:szCs w:val="21"/>
              </w:rPr>
              <w:t>第二条、</w:t>
            </w:r>
            <w:r>
              <w:rPr>
                <w:rFonts w:ascii="宋体" w:hAnsi="宋体" w:cs="仿宋_GB2312"/>
                <w:color w:val="000000"/>
                <w:kern w:val="0"/>
                <w:szCs w:val="21"/>
              </w:rPr>
              <w:t>第二十四条</w:t>
            </w:r>
          </w:p>
        </w:tc>
        <w:tc>
          <w:tcPr>
            <w:tcW w:w="993" w:type="dxa"/>
            <w:noWrap w:val="0"/>
            <w:vAlign w:val="center"/>
          </w:tcPr>
          <w:p>
            <w:pPr>
              <w:spacing w:line="460" w:lineRule="exact"/>
              <w:rPr>
                <w:rFonts w:ascii="宋体"/>
                <w:sz w:val="24"/>
                <w:szCs w:val="32"/>
              </w:rPr>
            </w:pPr>
            <w:r>
              <w:rPr>
                <w:rFonts w:hint="eastAsia" w:ascii="宋体" w:hAnsi="宋体" w:cs="仿宋_GB2312"/>
                <w:color w:val="000000"/>
                <w:kern w:val="0"/>
                <w:szCs w:val="21"/>
              </w:rPr>
              <w:t>兽医科、质量安全与法规科</w:t>
            </w:r>
          </w:p>
        </w:tc>
      </w:tr>
    </w:tbl>
    <w:p>
      <w:pPr>
        <w:pStyle w:val="3"/>
        <w:widowControl/>
        <w:spacing w:beforeAutospacing="0" w:afterAutospacing="0" w:line="460" w:lineRule="exact"/>
        <w:jc w:val="both"/>
        <w:rPr>
          <w:rFonts w:ascii="宋体" w:hAnsi="宋体" w:eastAsia="宋体" w:cs="宋体"/>
          <w:sz w:val="28"/>
          <w:szCs w:val="28"/>
          <w:shd w:val="clear" w:color="auto"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E34BD"/>
    <w:rsid w:val="03E4687B"/>
    <w:rsid w:val="0ACA0FC6"/>
    <w:rsid w:val="18AE34BD"/>
    <w:rsid w:val="54511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2020-08-11T08:34:00Z</dcterms:created>
  <dc:creator>Lenovo</dc:creator>
  <cp:lastModifiedBy>Lenovo</cp:lastModifiedBy>
  <dcterms:modified xsi:type="dcterms:W3CDTF">2020-08-12T10:03:50Z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