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柳州市</w:t>
      </w: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1</w:t>
      </w:r>
      <w:r>
        <w:rPr>
          <w:rFonts w:hint="eastAsia" w:ascii="方正小标宋简体" w:hAnsi="方正小标宋简体" w:eastAsia="方正小标宋简体" w:cs="方正小标宋简体"/>
          <w:color w:val="auto"/>
          <w:sz w:val="44"/>
          <w:szCs w:val="44"/>
        </w:rPr>
        <w:t>年种植业农产品质量安全</w:t>
      </w:r>
      <w:r>
        <w:rPr>
          <w:rFonts w:hint="eastAsia" w:ascii="方正小标宋简体" w:hAnsi="方正小标宋简体" w:eastAsia="方正小标宋简体" w:cs="方正小标宋简体"/>
          <w:color w:val="auto"/>
          <w:sz w:val="44"/>
          <w:szCs w:val="44"/>
          <w:lang w:eastAsia="zh-CN"/>
        </w:rPr>
        <w:t>例行</w:t>
      </w:r>
      <w:r>
        <w:rPr>
          <w:rFonts w:hint="eastAsia" w:ascii="方正小标宋简体" w:hAnsi="方正小标宋简体" w:eastAsia="方正小标宋简体" w:cs="方正小标宋简体"/>
          <w:color w:val="auto"/>
          <w:sz w:val="44"/>
          <w:szCs w:val="44"/>
        </w:rPr>
        <w:t>监测</w:t>
      </w:r>
      <w:r>
        <w:rPr>
          <w:rFonts w:hint="eastAsia" w:ascii="方正小标宋简体" w:hAnsi="方正小标宋简体" w:eastAsia="方正小标宋简体" w:cs="方正小标宋简体"/>
          <w:color w:val="auto"/>
          <w:sz w:val="44"/>
          <w:szCs w:val="44"/>
          <w:lang w:eastAsia="zh-CN"/>
        </w:rPr>
        <w:t>（风险监测）</w:t>
      </w:r>
      <w:r>
        <w:rPr>
          <w:rFonts w:hint="eastAsia" w:ascii="方正小标宋简体" w:hAnsi="方正小标宋简体" w:eastAsia="方正小标宋简体" w:cs="方正小标宋简体"/>
          <w:color w:val="auto"/>
          <w:sz w:val="44"/>
          <w:szCs w:val="44"/>
        </w:rPr>
        <w:t>实施方案</w:t>
      </w:r>
    </w:p>
    <w:p>
      <w:pPr>
        <w:keepNext w:val="0"/>
        <w:keepLines w:val="0"/>
        <w:pageBreakBefore w:val="0"/>
        <w:kinsoku/>
        <w:wordWrap/>
        <w:overflowPunct/>
        <w:topLinePunct w:val="0"/>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kern w:val="0"/>
          <w:sz w:val="32"/>
          <w:szCs w:val="32"/>
        </w:rPr>
      </w:pPr>
      <w:r>
        <w:rPr>
          <w:rFonts w:hint="eastAsia" w:ascii="仿宋_GB2312" w:eastAsia="仿宋_GB2312"/>
          <w:bCs/>
          <w:color w:val="auto"/>
          <w:kern w:val="0"/>
          <w:sz w:val="32"/>
          <w:szCs w:val="32"/>
        </w:rPr>
        <w:t>为加强我市农产品质量安全监管，全面掌握我市</w:t>
      </w:r>
      <w:r>
        <w:rPr>
          <w:rFonts w:hint="eastAsia" w:ascii="仿宋_GB2312" w:eastAsia="仿宋_GB2312"/>
          <w:bCs/>
          <w:color w:val="auto"/>
          <w:kern w:val="0"/>
          <w:sz w:val="32"/>
          <w:szCs w:val="32"/>
          <w:lang w:eastAsia="zh-CN"/>
        </w:rPr>
        <w:t>种植业</w:t>
      </w:r>
      <w:r>
        <w:rPr>
          <w:rFonts w:hint="eastAsia" w:ascii="仿宋_GB2312" w:eastAsia="仿宋_GB2312"/>
          <w:bCs/>
          <w:color w:val="auto"/>
          <w:kern w:val="0"/>
          <w:sz w:val="32"/>
          <w:szCs w:val="32"/>
        </w:rPr>
        <w:t>农产品生产质量安全状况，根据《自治区农业农村厅关于印发20</w:t>
      </w:r>
      <w:r>
        <w:rPr>
          <w:rFonts w:hint="eastAsia" w:ascii="仿宋_GB2312" w:eastAsia="仿宋_GB2312"/>
          <w:bCs/>
          <w:color w:val="auto"/>
          <w:kern w:val="0"/>
          <w:sz w:val="32"/>
          <w:szCs w:val="32"/>
          <w:lang w:val="en-US" w:eastAsia="zh-CN"/>
        </w:rPr>
        <w:t>21</w:t>
      </w:r>
      <w:r>
        <w:rPr>
          <w:rFonts w:hint="eastAsia" w:ascii="仿宋_GB2312" w:eastAsia="仿宋_GB2312"/>
          <w:bCs/>
          <w:color w:val="auto"/>
          <w:kern w:val="0"/>
          <w:sz w:val="32"/>
          <w:szCs w:val="32"/>
        </w:rPr>
        <w:t>年全区农产品质量安全</w:t>
      </w:r>
      <w:r>
        <w:rPr>
          <w:rFonts w:hint="eastAsia" w:ascii="仿宋_GB2312" w:eastAsia="仿宋_GB2312"/>
          <w:bCs/>
          <w:color w:val="auto"/>
          <w:kern w:val="0"/>
          <w:sz w:val="32"/>
          <w:szCs w:val="32"/>
          <w:lang w:eastAsia="zh-CN"/>
        </w:rPr>
        <w:t>例行</w:t>
      </w:r>
      <w:r>
        <w:rPr>
          <w:rFonts w:hint="eastAsia" w:ascii="仿宋_GB2312" w:eastAsia="仿宋_GB2312"/>
          <w:bCs/>
          <w:color w:val="auto"/>
          <w:kern w:val="0"/>
          <w:sz w:val="32"/>
          <w:szCs w:val="32"/>
        </w:rPr>
        <w:t>监测</w:t>
      </w:r>
      <w:r>
        <w:rPr>
          <w:rFonts w:hint="eastAsia" w:ascii="仿宋_GB2312" w:eastAsia="仿宋_GB2312"/>
          <w:bCs/>
          <w:color w:val="auto"/>
          <w:kern w:val="0"/>
          <w:sz w:val="32"/>
          <w:szCs w:val="32"/>
          <w:lang w:eastAsia="zh-CN"/>
        </w:rPr>
        <w:t>（风险监测）</w:t>
      </w:r>
      <w:r>
        <w:rPr>
          <w:rFonts w:hint="eastAsia" w:ascii="仿宋_GB2312" w:eastAsia="仿宋_GB2312"/>
          <w:bCs/>
          <w:color w:val="auto"/>
          <w:kern w:val="0"/>
          <w:sz w:val="32"/>
          <w:szCs w:val="32"/>
        </w:rPr>
        <w:t>实施方案的通知》</w:t>
      </w:r>
      <w:r>
        <w:rPr>
          <w:rFonts w:hint="eastAsia" w:ascii="仿宋_GB2312" w:eastAsia="仿宋_GB2312"/>
          <w:bCs/>
          <w:color w:val="auto"/>
          <w:kern w:val="0"/>
          <w:sz w:val="32"/>
          <w:szCs w:val="32"/>
          <w:lang w:eastAsia="zh-CN"/>
        </w:rPr>
        <w:t>（桂农厅发〔2021〕6号）的</w:t>
      </w:r>
      <w:r>
        <w:rPr>
          <w:rFonts w:hint="eastAsia" w:ascii="仿宋_GB2312" w:eastAsia="仿宋_GB2312"/>
          <w:bCs/>
          <w:color w:val="auto"/>
          <w:kern w:val="0"/>
          <w:sz w:val="32"/>
          <w:szCs w:val="32"/>
        </w:rPr>
        <w:t>文件精神，</w:t>
      </w:r>
      <w:r>
        <w:rPr>
          <w:rFonts w:hint="eastAsia" w:ascii="仿宋_GB2312" w:eastAsia="仿宋_GB2312"/>
          <w:bCs/>
          <w:color w:val="auto"/>
          <w:kern w:val="0"/>
          <w:sz w:val="32"/>
          <w:szCs w:val="32"/>
          <w:lang w:eastAsia="zh-CN"/>
        </w:rPr>
        <w:t>结合我市实际，</w:t>
      </w:r>
      <w:r>
        <w:rPr>
          <w:rFonts w:hint="eastAsia" w:ascii="仿宋_GB2312" w:eastAsia="仿宋_GB2312"/>
          <w:bCs/>
          <w:color w:val="auto"/>
          <w:kern w:val="0"/>
          <w:sz w:val="32"/>
          <w:szCs w:val="32"/>
        </w:rPr>
        <w:t>制定本方案</w:t>
      </w:r>
      <w:r>
        <w:rPr>
          <w:rFonts w:hint="eastAsia" w:ascii="仿宋_GB2312"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一、监测任务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bCs/>
          <w:color w:val="auto"/>
          <w:kern w:val="0"/>
          <w:sz w:val="32"/>
          <w:szCs w:val="32"/>
        </w:rPr>
      </w:pPr>
      <w:r>
        <w:rPr>
          <w:rFonts w:hint="eastAsia" w:ascii="仿宋_GB2312" w:eastAsia="仿宋_GB2312"/>
          <w:bCs/>
          <w:color w:val="auto"/>
          <w:kern w:val="0"/>
          <w:sz w:val="32"/>
          <w:szCs w:val="32"/>
        </w:rPr>
        <w:t>全市承担</w:t>
      </w:r>
      <w:r>
        <w:rPr>
          <w:rFonts w:hint="default" w:ascii="Times New Roman" w:hAnsi="Times New Roman" w:eastAsia="仿宋_GB2312" w:cs="Times New Roman"/>
          <w:bCs/>
          <w:color w:val="auto"/>
          <w:kern w:val="0"/>
          <w:sz w:val="32"/>
          <w:szCs w:val="32"/>
          <w:lang w:val="en-US" w:eastAsia="zh-CN"/>
        </w:rPr>
        <w:t>30515</w:t>
      </w:r>
      <w:r>
        <w:rPr>
          <w:rFonts w:hint="eastAsia" w:ascii="仿宋_GB2312" w:eastAsia="仿宋_GB2312"/>
          <w:bCs/>
          <w:color w:val="auto"/>
          <w:kern w:val="0"/>
          <w:sz w:val="32"/>
          <w:szCs w:val="32"/>
        </w:rPr>
        <w:t>个样本的农产品质量安全</w:t>
      </w:r>
      <w:r>
        <w:rPr>
          <w:rFonts w:hint="eastAsia" w:ascii="仿宋_GB2312" w:eastAsia="仿宋_GB2312"/>
          <w:bCs/>
          <w:color w:val="auto"/>
          <w:kern w:val="0"/>
          <w:sz w:val="32"/>
          <w:szCs w:val="32"/>
          <w:lang w:eastAsia="zh-CN"/>
        </w:rPr>
        <w:t>例行（风险）</w:t>
      </w:r>
      <w:r>
        <w:rPr>
          <w:rFonts w:hint="eastAsia" w:ascii="仿宋_GB2312" w:eastAsia="仿宋_GB2312"/>
          <w:bCs/>
          <w:color w:val="auto"/>
          <w:kern w:val="0"/>
          <w:sz w:val="32"/>
          <w:szCs w:val="32"/>
        </w:rPr>
        <w:t>监测任务，其中：</w:t>
      </w:r>
      <w:r>
        <w:rPr>
          <w:rFonts w:hint="eastAsia" w:ascii="仿宋_GB2312" w:eastAsia="仿宋_GB2312"/>
          <w:bCs/>
          <w:color w:val="auto"/>
          <w:kern w:val="0"/>
          <w:sz w:val="32"/>
          <w:szCs w:val="32"/>
          <w:lang w:eastAsia="zh-CN"/>
        </w:rPr>
        <w:t>自治区级定量</w:t>
      </w:r>
      <w:r>
        <w:rPr>
          <w:rFonts w:hint="eastAsia" w:ascii="仿宋_GB2312" w:eastAsia="仿宋_GB2312"/>
          <w:bCs/>
          <w:color w:val="auto"/>
          <w:kern w:val="0"/>
          <w:sz w:val="32"/>
          <w:szCs w:val="32"/>
        </w:rPr>
        <w:t>监测</w:t>
      </w:r>
      <w:r>
        <w:rPr>
          <w:rFonts w:hint="default" w:ascii="Times New Roman" w:hAnsi="Times New Roman" w:eastAsia="仿宋_GB2312" w:cs="Times New Roman"/>
          <w:bCs/>
          <w:color w:val="auto"/>
          <w:kern w:val="0"/>
          <w:sz w:val="32"/>
          <w:szCs w:val="32"/>
          <w:lang w:val="en-US" w:eastAsia="zh-CN"/>
        </w:rPr>
        <w:t>975</w:t>
      </w:r>
      <w:r>
        <w:rPr>
          <w:rFonts w:hint="eastAsia" w:ascii="仿宋_GB2312" w:eastAsia="仿宋_GB2312"/>
          <w:bCs/>
          <w:color w:val="auto"/>
          <w:kern w:val="0"/>
          <w:sz w:val="32"/>
          <w:szCs w:val="32"/>
          <w:lang w:eastAsia="zh-CN"/>
        </w:rPr>
        <w:t>份</w:t>
      </w:r>
      <w:r>
        <w:rPr>
          <w:rFonts w:hint="eastAsia" w:ascii="仿宋_GB2312" w:eastAsia="仿宋_GB2312"/>
          <w:bCs/>
          <w:color w:val="auto"/>
          <w:kern w:val="0"/>
          <w:sz w:val="32"/>
          <w:szCs w:val="32"/>
        </w:rPr>
        <w:t>，</w:t>
      </w:r>
      <w:r>
        <w:rPr>
          <w:rFonts w:hint="eastAsia" w:ascii="仿宋_GB2312" w:eastAsia="仿宋_GB2312"/>
          <w:bCs/>
          <w:color w:val="auto"/>
          <w:kern w:val="0"/>
          <w:sz w:val="32"/>
          <w:szCs w:val="32"/>
          <w:lang w:eastAsia="zh-CN"/>
        </w:rPr>
        <w:t>市本级定量监测</w:t>
      </w:r>
      <w:r>
        <w:rPr>
          <w:rFonts w:hint="eastAsia" w:ascii="Times New Roman" w:hAnsi="Times New Roman" w:eastAsia="仿宋_GB2312" w:cs="Times New Roman"/>
          <w:bCs/>
          <w:color w:val="auto"/>
          <w:kern w:val="0"/>
          <w:sz w:val="32"/>
          <w:szCs w:val="32"/>
          <w:lang w:val="en-US" w:eastAsia="zh-CN"/>
        </w:rPr>
        <w:t>1760</w:t>
      </w:r>
      <w:r>
        <w:rPr>
          <w:rFonts w:hint="eastAsia" w:ascii="仿宋_GB2312" w:eastAsia="仿宋_GB2312"/>
          <w:bCs/>
          <w:color w:val="auto"/>
          <w:kern w:val="0"/>
          <w:sz w:val="32"/>
          <w:szCs w:val="32"/>
          <w:lang w:val="en-US" w:eastAsia="zh-CN"/>
        </w:rPr>
        <w:t>份，各县区定量监测1500份，县级</w:t>
      </w:r>
      <w:r>
        <w:rPr>
          <w:rFonts w:hint="eastAsia" w:ascii="仿宋_GB2312" w:eastAsia="仿宋_GB2312"/>
          <w:bCs/>
          <w:color w:val="auto"/>
          <w:kern w:val="0"/>
          <w:sz w:val="32"/>
          <w:szCs w:val="32"/>
        </w:rPr>
        <w:t>快速检测监测</w:t>
      </w:r>
      <w:r>
        <w:rPr>
          <w:rFonts w:hint="default" w:ascii="Times New Roman" w:hAnsi="Times New Roman" w:eastAsia="仿宋_GB2312" w:cs="Times New Roman"/>
          <w:bCs/>
          <w:color w:val="auto"/>
          <w:kern w:val="0"/>
          <w:sz w:val="32"/>
          <w:szCs w:val="32"/>
          <w:lang w:val="en-US" w:eastAsia="zh-CN"/>
        </w:rPr>
        <w:t>26280</w:t>
      </w:r>
      <w:r>
        <w:rPr>
          <w:rFonts w:hint="eastAsia" w:ascii="仿宋_GB2312" w:eastAsia="仿宋_GB2312"/>
          <w:bCs/>
          <w:color w:val="auto"/>
          <w:kern w:val="0"/>
          <w:sz w:val="32"/>
          <w:szCs w:val="32"/>
          <w:lang w:eastAsia="zh-CN"/>
        </w:rPr>
        <w:t>份。</w:t>
      </w:r>
      <w:r>
        <w:rPr>
          <w:rFonts w:hint="eastAsia" w:ascii="仿宋_GB2312" w:eastAsia="仿宋_GB2312"/>
          <w:bCs/>
          <w:color w:val="auto"/>
          <w:kern w:val="0"/>
          <w:sz w:val="32"/>
          <w:szCs w:val="32"/>
        </w:rPr>
        <w:t>具体监测任务详见附件</w:t>
      </w:r>
      <w:r>
        <w:rPr>
          <w:rFonts w:hint="eastAsia" w:ascii="Times New Roman" w:hAnsi="Times New Roman" w:eastAsia="仿宋_GB2312" w:cs="Times New Roman"/>
          <w:bCs/>
          <w:color w:val="auto"/>
          <w:kern w:val="0"/>
          <w:sz w:val="32"/>
          <w:szCs w:val="32"/>
          <w:lang w:val="en-US" w:eastAsia="zh-CN"/>
        </w:rPr>
        <w:t>2-1</w:t>
      </w:r>
      <w:r>
        <w:rPr>
          <w:rFonts w:hint="eastAsia" w:ascii="仿宋_GB2312" w:eastAsia="仿宋_GB2312"/>
          <w:bCs/>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二、实施单位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olor w:val="auto"/>
          <w:sz w:val="32"/>
          <w:szCs w:val="32"/>
          <w:lang w:eastAsia="zh-CN"/>
        </w:rPr>
      </w:pPr>
      <w:r>
        <w:rPr>
          <w:rFonts w:hint="eastAsia" w:ascii="楷体_GB2312" w:hAnsi="楷体_GB2312" w:eastAsia="楷体_GB2312" w:cs="楷体_GB2312"/>
          <w:color w:val="auto"/>
          <w:sz w:val="32"/>
          <w:szCs w:val="32"/>
          <w:lang w:eastAsia="zh-CN"/>
        </w:rPr>
        <w:t>（一）定量检测。</w:t>
      </w:r>
      <w:r>
        <w:rPr>
          <w:rFonts w:hint="eastAsia" w:ascii="仿宋_GB2312" w:eastAsia="仿宋_GB2312"/>
          <w:bCs/>
          <w:color w:val="auto"/>
          <w:kern w:val="0"/>
          <w:sz w:val="32"/>
          <w:szCs w:val="32"/>
          <w:lang w:eastAsia="zh-CN"/>
        </w:rPr>
        <w:t>自治区级</w:t>
      </w:r>
      <w:r>
        <w:rPr>
          <w:rFonts w:hint="eastAsia" w:ascii="仿宋_GB2312" w:eastAsia="仿宋_GB2312"/>
          <w:color w:val="auto"/>
          <w:sz w:val="32"/>
          <w:szCs w:val="32"/>
          <w:lang w:eastAsia="zh-CN"/>
        </w:rPr>
        <w:t>定量检测由自治区农业厅厅委托中标检测机构</w:t>
      </w:r>
      <w:r>
        <w:rPr>
          <w:rFonts w:hint="eastAsia" w:ascii="仿宋_GB2312" w:eastAsia="仿宋_GB2312"/>
          <w:color w:val="auto"/>
          <w:sz w:val="32"/>
          <w:szCs w:val="32"/>
        </w:rPr>
        <w:t>和柳江区、融水县农业</w:t>
      </w:r>
      <w:r>
        <w:rPr>
          <w:rFonts w:hint="eastAsia" w:ascii="仿宋_GB2312" w:eastAsia="仿宋_GB2312"/>
          <w:color w:val="auto"/>
          <w:sz w:val="32"/>
          <w:szCs w:val="32"/>
          <w:lang w:eastAsia="zh-CN"/>
        </w:rPr>
        <w:t>农村</w:t>
      </w:r>
      <w:r>
        <w:rPr>
          <w:rFonts w:hint="eastAsia" w:ascii="仿宋_GB2312" w:eastAsia="仿宋_GB2312"/>
          <w:color w:val="auto"/>
          <w:sz w:val="32"/>
          <w:szCs w:val="32"/>
        </w:rPr>
        <w:t>局实施</w:t>
      </w:r>
      <w:r>
        <w:rPr>
          <w:rFonts w:hint="eastAsia" w:ascii="仿宋_GB2312" w:eastAsia="仿宋_GB2312"/>
          <w:color w:val="auto"/>
          <w:sz w:val="32"/>
          <w:szCs w:val="32"/>
          <w:lang w:eastAsia="zh-CN"/>
        </w:rPr>
        <w:t>，其中自治区农业农村厅例行监测</w:t>
      </w:r>
      <w:r>
        <w:rPr>
          <w:rFonts w:hint="default" w:ascii="Times New Roman" w:hAnsi="Times New Roman" w:eastAsia="仿宋_GB2312" w:cs="Times New Roman"/>
          <w:color w:val="auto"/>
          <w:sz w:val="32"/>
          <w:szCs w:val="32"/>
          <w:lang w:val="en-US" w:eastAsia="zh-CN"/>
        </w:rPr>
        <w:t>839</w:t>
      </w:r>
      <w:r>
        <w:rPr>
          <w:rFonts w:hint="eastAsia" w:ascii="仿宋_GB2312" w:eastAsia="仿宋_GB2312"/>
          <w:color w:val="auto"/>
          <w:sz w:val="32"/>
          <w:szCs w:val="32"/>
          <w:lang w:val="en-US" w:eastAsia="zh-CN"/>
        </w:rPr>
        <w:t>份样品</w:t>
      </w:r>
      <w:r>
        <w:rPr>
          <w:rFonts w:hint="eastAsia" w:ascii="仿宋_GB2312" w:eastAsia="仿宋_GB2312"/>
          <w:color w:val="auto"/>
          <w:sz w:val="32"/>
          <w:szCs w:val="32"/>
          <w:lang w:eastAsia="zh-CN"/>
        </w:rPr>
        <w:t>抽样由市农业技术推广中心负责协助实施，</w:t>
      </w:r>
      <w:r>
        <w:rPr>
          <w:rFonts w:hint="eastAsia" w:ascii="仿宋_GB2312" w:eastAsia="仿宋_GB2312"/>
          <w:color w:val="auto"/>
          <w:sz w:val="32"/>
          <w:szCs w:val="32"/>
        </w:rPr>
        <w:t>柳江区、融水县农业</w:t>
      </w:r>
      <w:r>
        <w:rPr>
          <w:rFonts w:hint="eastAsia" w:ascii="仿宋_GB2312" w:eastAsia="仿宋_GB2312"/>
          <w:color w:val="auto"/>
          <w:sz w:val="32"/>
          <w:szCs w:val="32"/>
          <w:lang w:eastAsia="zh-CN"/>
        </w:rPr>
        <w:t>农村</w:t>
      </w:r>
      <w:r>
        <w:rPr>
          <w:rFonts w:hint="eastAsia" w:ascii="仿宋_GB2312" w:eastAsia="仿宋_GB2312"/>
          <w:color w:val="auto"/>
          <w:sz w:val="32"/>
          <w:szCs w:val="32"/>
        </w:rPr>
        <w:t>局</w:t>
      </w:r>
      <w:r>
        <w:rPr>
          <w:rFonts w:hint="eastAsia" w:eastAsia="仿宋_GB2312"/>
          <w:color w:val="auto"/>
          <w:sz w:val="32"/>
          <w:szCs w:val="32"/>
        </w:rPr>
        <w:t>各</w:t>
      </w:r>
      <w:r>
        <w:rPr>
          <w:rFonts w:hint="eastAsia" w:eastAsia="仿宋_GB2312"/>
          <w:color w:val="auto"/>
          <w:sz w:val="32"/>
          <w:szCs w:val="32"/>
          <w:lang w:eastAsia="zh-CN"/>
        </w:rPr>
        <w:t>自行</w:t>
      </w:r>
      <w:r>
        <w:rPr>
          <w:rFonts w:hint="eastAsia" w:eastAsia="仿宋_GB2312"/>
          <w:color w:val="auto"/>
          <w:sz w:val="32"/>
          <w:szCs w:val="32"/>
        </w:rPr>
        <w:t>承担</w:t>
      </w:r>
      <w:r>
        <w:rPr>
          <w:rFonts w:hint="default" w:ascii="Times New Roman" w:hAnsi="Times New Roman" w:eastAsia="仿宋_GB2312" w:cs="Times New Roman"/>
          <w:color w:val="auto"/>
          <w:sz w:val="32"/>
          <w:szCs w:val="32"/>
        </w:rPr>
        <w:t>68</w:t>
      </w:r>
      <w:r>
        <w:rPr>
          <w:rFonts w:hint="eastAsia" w:eastAsia="仿宋_GB2312"/>
          <w:color w:val="auto"/>
          <w:sz w:val="32"/>
          <w:szCs w:val="32"/>
        </w:rPr>
        <w:t>个样品</w:t>
      </w:r>
      <w:r>
        <w:rPr>
          <w:rFonts w:hint="eastAsia" w:eastAsia="仿宋_GB2312"/>
          <w:color w:val="auto"/>
          <w:sz w:val="32"/>
          <w:szCs w:val="32"/>
          <w:lang w:eastAsia="zh-CN"/>
        </w:rPr>
        <w:t>检测任务。市本级定量检测</w:t>
      </w:r>
      <w:r>
        <w:rPr>
          <w:rFonts w:hint="eastAsia" w:ascii="Times New Roman" w:hAnsi="Times New Roman" w:eastAsia="仿宋_GB2312" w:cs="Times New Roman"/>
          <w:color w:val="auto"/>
          <w:sz w:val="32"/>
          <w:szCs w:val="32"/>
          <w:lang w:val="en-US" w:eastAsia="zh-CN"/>
        </w:rPr>
        <w:t>1760</w:t>
      </w:r>
      <w:r>
        <w:rPr>
          <w:rFonts w:hint="eastAsia" w:ascii="仿宋_GB2312" w:eastAsia="仿宋_GB2312"/>
          <w:color w:val="auto"/>
          <w:sz w:val="32"/>
          <w:szCs w:val="32"/>
          <w:lang w:val="en-US" w:eastAsia="zh-CN"/>
        </w:rPr>
        <w:t>份</w:t>
      </w:r>
      <w:r>
        <w:rPr>
          <w:rFonts w:hint="eastAsia" w:eastAsia="仿宋_GB2312"/>
          <w:color w:val="auto"/>
          <w:sz w:val="32"/>
          <w:szCs w:val="32"/>
          <w:lang w:val="en-US" w:eastAsia="zh-CN"/>
        </w:rPr>
        <w:t>样品</w:t>
      </w:r>
      <w:r>
        <w:rPr>
          <w:rFonts w:hint="eastAsia" w:eastAsia="仿宋_GB2312"/>
          <w:color w:val="auto"/>
          <w:sz w:val="32"/>
          <w:szCs w:val="32"/>
          <w:lang w:eastAsia="zh-CN"/>
        </w:rPr>
        <w:t>由市农业农村局统一委托中标检测机构实施，市农业技术推广中心负责组织协调各县区农业农村局抽样和制样，并将制备好的样品统一送至市农业技术推广中心。各县区定量抽检任务</w:t>
      </w:r>
      <w:r>
        <w:rPr>
          <w:rFonts w:hint="default" w:ascii="Times New Roman" w:hAnsi="Times New Roman" w:eastAsia="仿宋_GB2312" w:cs="Times New Roman"/>
          <w:color w:val="auto"/>
          <w:sz w:val="32"/>
          <w:szCs w:val="32"/>
          <w:lang w:val="en-US" w:eastAsia="zh-CN"/>
        </w:rPr>
        <w:t>1500</w:t>
      </w:r>
      <w:r>
        <w:rPr>
          <w:rFonts w:hint="eastAsia" w:eastAsia="仿宋_GB2312"/>
          <w:color w:val="auto"/>
          <w:sz w:val="32"/>
          <w:szCs w:val="32"/>
          <w:lang w:val="en-US" w:eastAsia="zh-CN"/>
        </w:rPr>
        <w:t>份</w:t>
      </w:r>
      <w:r>
        <w:rPr>
          <w:rFonts w:hint="eastAsia" w:eastAsia="仿宋_GB2312"/>
          <w:color w:val="auto"/>
          <w:sz w:val="32"/>
          <w:szCs w:val="32"/>
          <w:lang w:eastAsia="zh-CN"/>
        </w:rPr>
        <w:t>由各县区农业农村局负责，可以委托中标机构实施，市农业技术推广中心协助（具体详见附件</w:t>
      </w:r>
      <w:r>
        <w:rPr>
          <w:rFonts w:hint="default" w:ascii="Times New Roman" w:hAnsi="Times New Roman" w:eastAsia="仿宋_GB2312" w:cs="Times New Roman"/>
          <w:color w:val="auto"/>
          <w:sz w:val="32"/>
          <w:szCs w:val="32"/>
          <w:lang w:val="en-US" w:eastAsia="zh-CN"/>
        </w:rPr>
        <w:t>2-1</w:t>
      </w:r>
      <w:r>
        <w:rPr>
          <w:rFonts w:hint="eastAsia" w:eastAsia="仿宋_GB2312"/>
          <w:color w:val="auto"/>
          <w:sz w:val="32"/>
          <w:szCs w:val="32"/>
          <w:lang w:eastAsia="zh-CN"/>
        </w:rPr>
        <w:t>）。</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eastAsia="仿宋_GB2312"/>
          <w:color w:val="auto"/>
          <w:sz w:val="32"/>
          <w:szCs w:val="32"/>
          <w:lang w:eastAsia="zh-CN"/>
        </w:rPr>
      </w:pPr>
      <w:r>
        <w:rPr>
          <w:rFonts w:hint="eastAsia" w:ascii="楷体_GB2312" w:hAnsi="楷体_GB2312" w:eastAsia="楷体_GB2312" w:cs="楷体_GB2312"/>
          <w:color w:val="auto"/>
          <w:sz w:val="32"/>
          <w:szCs w:val="32"/>
          <w:lang w:eastAsia="zh-CN"/>
        </w:rPr>
        <w:t>（二）快速检测</w:t>
      </w:r>
      <w:r>
        <w:rPr>
          <w:rFonts w:hint="eastAsia" w:ascii="楷体" w:hAnsi="楷体" w:eastAsia="楷体" w:cs="楷体"/>
          <w:color w:val="auto"/>
          <w:sz w:val="32"/>
          <w:szCs w:val="32"/>
          <w:lang w:eastAsia="zh-CN"/>
        </w:rPr>
        <w:t>。</w:t>
      </w:r>
      <w:r>
        <w:rPr>
          <w:rFonts w:hint="eastAsia" w:ascii="仿宋_GB2312" w:eastAsia="仿宋_GB2312"/>
          <w:color w:val="auto"/>
          <w:sz w:val="32"/>
          <w:szCs w:val="32"/>
        </w:rPr>
        <w:t>快速检测法监测由</w:t>
      </w:r>
      <w:r>
        <w:rPr>
          <w:rFonts w:hint="eastAsia" w:ascii="仿宋_GB2312" w:eastAsia="仿宋_GB2312"/>
          <w:color w:val="auto"/>
          <w:sz w:val="32"/>
          <w:szCs w:val="32"/>
          <w:lang w:eastAsia="zh-CN"/>
        </w:rPr>
        <w:t>各</w:t>
      </w:r>
      <w:r>
        <w:rPr>
          <w:rFonts w:hint="eastAsia" w:ascii="仿宋_GB2312" w:eastAsia="仿宋_GB2312"/>
          <w:color w:val="auto"/>
          <w:sz w:val="32"/>
          <w:szCs w:val="32"/>
        </w:rPr>
        <w:t>县区农业</w:t>
      </w:r>
      <w:r>
        <w:rPr>
          <w:rFonts w:hint="eastAsia" w:ascii="仿宋_GB2312" w:eastAsia="仿宋_GB2312"/>
          <w:color w:val="auto"/>
          <w:sz w:val="32"/>
          <w:szCs w:val="32"/>
          <w:lang w:eastAsia="zh-CN"/>
        </w:rPr>
        <w:t>农村</w:t>
      </w:r>
      <w:r>
        <w:rPr>
          <w:rFonts w:hint="eastAsia" w:ascii="仿宋_GB2312" w:eastAsia="仿宋_GB2312"/>
          <w:color w:val="auto"/>
          <w:sz w:val="32"/>
          <w:szCs w:val="32"/>
        </w:rPr>
        <w:t>部门、乡镇农产品质量安全监管服务站实施。</w:t>
      </w:r>
      <w:r>
        <w:rPr>
          <w:rFonts w:hint="eastAsia" w:ascii="仿宋_GB2312" w:eastAsia="仿宋_GB2312"/>
          <w:color w:val="auto"/>
          <w:sz w:val="32"/>
          <w:szCs w:val="32"/>
          <w:lang w:eastAsia="zh-CN"/>
        </w:rPr>
        <w:t>其中</w:t>
      </w:r>
      <w:r>
        <w:rPr>
          <w:rFonts w:hint="eastAsia" w:ascii="仿宋_GB2312" w:eastAsia="仿宋_GB2312"/>
          <w:color w:val="auto"/>
          <w:sz w:val="32"/>
          <w:szCs w:val="32"/>
        </w:rPr>
        <w:t>柳南、柳江、柳城、融安、融水、鹿寨和三江县（区）农业农村局</w:t>
      </w:r>
      <w:r>
        <w:rPr>
          <w:rFonts w:hint="eastAsia" w:ascii="仿宋_GB2312" w:eastAsia="仿宋_GB2312"/>
          <w:color w:val="auto"/>
          <w:sz w:val="32"/>
          <w:szCs w:val="32"/>
          <w:lang w:eastAsia="zh-CN"/>
        </w:rPr>
        <w:t>全年各监测</w:t>
      </w:r>
      <w:r>
        <w:rPr>
          <w:rFonts w:hint="default" w:ascii="Times New Roman" w:hAnsi="Times New Roman" w:eastAsia="仿宋_GB2312" w:cs="Times New Roman"/>
          <w:color w:val="auto"/>
          <w:sz w:val="32"/>
          <w:szCs w:val="32"/>
          <w:lang w:val="en-US" w:eastAsia="zh-CN"/>
        </w:rPr>
        <w:t>840</w:t>
      </w:r>
      <w:r>
        <w:rPr>
          <w:rFonts w:hint="eastAsia" w:ascii="仿宋_GB2312" w:eastAsia="仿宋_GB2312"/>
          <w:color w:val="auto"/>
          <w:sz w:val="32"/>
          <w:szCs w:val="32"/>
          <w:lang w:val="en-US" w:eastAsia="zh-CN"/>
        </w:rPr>
        <w:t>个样本以上，</w:t>
      </w:r>
      <w:r>
        <w:rPr>
          <w:rFonts w:hint="eastAsia" w:ascii="仿宋_GB2312" w:eastAsia="仿宋_GB2312"/>
          <w:color w:val="auto"/>
          <w:sz w:val="32"/>
          <w:szCs w:val="32"/>
        </w:rPr>
        <w:t>每个乡镇农产品质量安全监管服务站全年监测</w:t>
      </w:r>
      <w:r>
        <w:rPr>
          <w:rFonts w:hint="default" w:ascii="Times New Roman" w:hAnsi="Times New Roman" w:eastAsia="仿宋_GB2312" w:cs="Times New Roman"/>
          <w:color w:val="auto"/>
          <w:sz w:val="32"/>
          <w:szCs w:val="32"/>
          <w:lang w:val="en-US" w:eastAsia="zh-CN"/>
        </w:rPr>
        <w:t>240</w:t>
      </w:r>
      <w:r>
        <w:rPr>
          <w:rFonts w:hint="eastAsia" w:ascii="仿宋_GB2312" w:eastAsia="仿宋_GB2312"/>
          <w:color w:val="auto"/>
          <w:sz w:val="32"/>
          <w:szCs w:val="32"/>
        </w:rPr>
        <w:t>个样本以上。各县区农业</w:t>
      </w:r>
      <w:r>
        <w:rPr>
          <w:rFonts w:hint="eastAsia" w:ascii="仿宋_GB2312" w:eastAsia="仿宋_GB2312"/>
          <w:color w:val="auto"/>
          <w:sz w:val="32"/>
          <w:szCs w:val="32"/>
          <w:lang w:eastAsia="zh-CN"/>
        </w:rPr>
        <w:t>农村</w:t>
      </w:r>
      <w:r>
        <w:rPr>
          <w:rFonts w:hint="eastAsia" w:ascii="仿宋_GB2312" w:eastAsia="仿宋_GB2312"/>
          <w:color w:val="auto"/>
          <w:sz w:val="32"/>
          <w:szCs w:val="32"/>
        </w:rPr>
        <w:t>部门负责组织本辖区乡镇监管服务站实施</w:t>
      </w:r>
      <w:r>
        <w:rPr>
          <w:rFonts w:hint="eastAsia" w:ascii="仿宋_GB2312" w:eastAsia="仿宋_GB2312"/>
          <w:color w:val="auto"/>
          <w:sz w:val="32"/>
          <w:szCs w:val="32"/>
          <w:lang w:eastAsia="zh-CN"/>
        </w:rPr>
        <w:t>，市农业技术推广中心负责指导督促开展检测进度工作（乡镇名录详见附件</w:t>
      </w:r>
      <w:r>
        <w:rPr>
          <w:rFonts w:hint="default" w:ascii="Times New Roman" w:hAnsi="Times New Roman" w:eastAsia="仿宋_GB2312" w:cs="Times New Roman"/>
          <w:color w:val="auto"/>
          <w:sz w:val="32"/>
          <w:szCs w:val="32"/>
          <w:lang w:val="en-US" w:eastAsia="zh-CN"/>
        </w:rPr>
        <w:t>2-2</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三、监测地点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eastAsia="仿宋_GB2312"/>
          <w:color w:val="auto"/>
          <w:sz w:val="32"/>
          <w:szCs w:val="32"/>
        </w:rPr>
      </w:pPr>
      <w:r>
        <w:rPr>
          <w:rFonts w:hint="eastAsia" w:ascii="仿宋_GB2312" w:eastAsia="仿宋_GB2312"/>
          <w:color w:val="auto"/>
          <w:sz w:val="32"/>
          <w:szCs w:val="32"/>
        </w:rPr>
        <w:t>快速检测和定量检测抽样地点由各县区农业</w:t>
      </w:r>
      <w:r>
        <w:rPr>
          <w:rFonts w:hint="eastAsia" w:ascii="仿宋_GB2312" w:eastAsia="仿宋_GB2312"/>
          <w:color w:val="auto"/>
          <w:sz w:val="32"/>
          <w:szCs w:val="32"/>
          <w:lang w:eastAsia="zh-CN"/>
        </w:rPr>
        <w:t>农村</w:t>
      </w:r>
      <w:r>
        <w:rPr>
          <w:rFonts w:hint="eastAsia" w:ascii="仿宋_GB2312" w:eastAsia="仿宋_GB2312"/>
          <w:color w:val="auto"/>
          <w:sz w:val="32"/>
          <w:szCs w:val="32"/>
        </w:rPr>
        <w:t>部门在辖区范围内确定，</w:t>
      </w:r>
      <w:r>
        <w:rPr>
          <w:rFonts w:hint="eastAsia" w:eastAsia="仿宋_GB2312"/>
          <w:color w:val="auto"/>
          <w:sz w:val="32"/>
          <w:szCs w:val="32"/>
        </w:rPr>
        <w:t>要突出地域特色，针对当地当季上市农产品重点抽检，要完善随机抽样，扩大抽检覆盖面，避免出现一地多抽而其他主体没抽到的情况</w:t>
      </w:r>
      <w:r>
        <w:rPr>
          <w:rFonts w:hint="eastAsia" w:eastAsia="仿宋_GB2312"/>
          <w:color w:val="auto"/>
          <w:sz w:val="32"/>
          <w:szCs w:val="32"/>
          <w:lang w:eastAsia="zh-CN"/>
        </w:rPr>
        <w:t>，</w:t>
      </w:r>
      <w:r>
        <w:rPr>
          <w:rFonts w:hint="eastAsia" w:ascii="仿宋_GB2312" w:eastAsia="仿宋_GB2312"/>
          <w:color w:val="auto"/>
          <w:sz w:val="32"/>
          <w:szCs w:val="32"/>
        </w:rPr>
        <w:t>建议蔬菜、水果、检测（抽检）部门联合商定抽样地点。</w:t>
      </w:r>
      <w:r>
        <w:rPr>
          <w:rFonts w:hint="eastAsia" w:ascii="仿宋_GB2312" w:eastAsia="仿宋_GB2312"/>
          <w:color w:val="auto"/>
          <w:sz w:val="32"/>
          <w:szCs w:val="32"/>
          <w:lang w:eastAsia="zh-CN"/>
        </w:rPr>
        <w:t>各县区农业农村部门</w:t>
      </w:r>
      <w:r>
        <w:rPr>
          <w:rFonts w:hint="eastAsia" w:eastAsia="仿宋_GB2312"/>
          <w:color w:val="auto"/>
          <w:sz w:val="32"/>
          <w:szCs w:val="32"/>
        </w:rPr>
        <w:t>要按照监测方案的规定和要求，提供具体受检单位的名单和地点，积极配合第三方机构的抽检工作，确保例行监测工作顺利完成。</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抽样</w:t>
      </w:r>
      <w:r>
        <w:rPr>
          <w:rFonts w:hint="eastAsia" w:ascii="黑体" w:hAnsi="黑体" w:eastAsia="黑体"/>
          <w:color w:val="auto"/>
          <w:sz w:val="32"/>
          <w:szCs w:val="32"/>
          <w:lang w:eastAsia="zh-CN"/>
        </w:rPr>
        <w:t>环节</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自治区级</w:t>
      </w:r>
      <w:r>
        <w:rPr>
          <w:rFonts w:hint="eastAsia" w:ascii="仿宋_GB2312" w:hAnsi="仿宋_GB2312" w:eastAsia="仿宋_GB2312" w:cs="仿宋_GB2312"/>
          <w:b w:val="0"/>
          <w:bCs w:val="0"/>
          <w:color w:val="auto"/>
          <w:sz w:val="32"/>
          <w:szCs w:val="32"/>
        </w:rPr>
        <w:t>定量检测重点在本辖区</w:t>
      </w:r>
      <w:r>
        <w:rPr>
          <w:rFonts w:hint="eastAsia" w:ascii="仿宋_GB2312" w:hAnsi="仿宋_GB2312" w:eastAsia="仿宋_GB2312" w:cs="仿宋_GB2312"/>
          <w:color w:val="auto"/>
          <w:sz w:val="32"/>
          <w:szCs w:val="32"/>
        </w:rPr>
        <w:t>生产基地（种植基地、散户、农民专业合作社和家庭农场等，下同）、产地运输车、农产品批发市场、农贸市场开展抽样。生产基地包含一定比例的散户，农贸市场作为抽样不足时的补充。抽样时需了解生产基地的性质（散户、家庭农场、合作社或公司），并在抽样单中注明。如果运输车样品数量达不到要求的，可在批发市场或农贸市场补齐。</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市本级定量检测、各县区定量检测和</w:t>
      </w:r>
      <w:r>
        <w:rPr>
          <w:rFonts w:hint="eastAsia" w:ascii="仿宋_GB2312" w:hAnsi="仿宋_GB2312" w:eastAsia="仿宋_GB2312" w:cs="仿宋_GB2312"/>
          <w:color w:val="auto"/>
          <w:sz w:val="32"/>
          <w:szCs w:val="32"/>
        </w:rPr>
        <w:t>快速检测</w:t>
      </w:r>
      <w:r>
        <w:rPr>
          <w:rFonts w:hint="eastAsia" w:ascii="仿宋_GB2312" w:hAnsi="仿宋_GB2312" w:eastAsia="仿宋_GB2312" w:cs="仿宋_GB2312"/>
          <w:b w:val="0"/>
          <w:bCs w:val="0"/>
          <w:color w:val="auto"/>
          <w:sz w:val="32"/>
          <w:szCs w:val="32"/>
          <w:lang w:eastAsia="zh-CN"/>
        </w:rPr>
        <w:t>重点</w:t>
      </w:r>
      <w:r>
        <w:rPr>
          <w:rFonts w:hint="eastAsia" w:ascii="仿宋_GB2312" w:hAnsi="仿宋_GB2312" w:eastAsia="仿宋_GB2312" w:cs="仿宋_GB2312"/>
          <w:color w:val="auto"/>
          <w:sz w:val="32"/>
          <w:szCs w:val="32"/>
          <w:lang w:eastAsia="zh-CN"/>
        </w:rPr>
        <w:t>在本辖区</w:t>
      </w:r>
      <w:r>
        <w:rPr>
          <w:rFonts w:hint="eastAsia" w:ascii="仿宋_GB2312" w:hAnsi="仿宋_GB2312" w:eastAsia="仿宋_GB2312" w:cs="仿宋_GB2312"/>
          <w:color w:val="auto"/>
          <w:sz w:val="32"/>
          <w:szCs w:val="32"/>
        </w:rPr>
        <w:t>生产基地（种植基地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散户、农民专业合作社和家庭农场</w:t>
      </w:r>
      <w:r>
        <w:rPr>
          <w:rFonts w:hint="eastAsia" w:ascii="仿宋_GB2312" w:hAnsi="仿宋_GB2312" w:eastAsia="仿宋_GB2312" w:cs="仿宋_GB2312"/>
          <w:color w:val="auto"/>
          <w:sz w:val="32"/>
          <w:szCs w:val="32"/>
          <w:lang w:eastAsia="zh-CN"/>
        </w:rPr>
        <w:t>及散户，对</w:t>
      </w:r>
      <w:r>
        <w:rPr>
          <w:rFonts w:hint="eastAsia" w:ascii="仿宋_GB2312" w:hAnsi="仿宋_GB2312" w:eastAsia="仿宋_GB2312" w:cs="仿宋_GB2312"/>
          <w:color w:val="auto"/>
          <w:sz w:val="32"/>
          <w:szCs w:val="32"/>
        </w:rPr>
        <w:t>上市的大宗蔬菜进行抽检</w:t>
      </w:r>
      <w:r>
        <w:rPr>
          <w:rFonts w:hint="eastAsia" w:ascii="仿宋_GB2312" w:hAnsi="仿宋_GB2312" w:eastAsia="仿宋_GB2312" w:cs="仿宋_GB2312"/>
          <w:color w:val="auto"/>
          <w:sz w:val="32"/>
          <w:szCs w:val="32"/>
          <w:lang w:eastAsia="zh-CN"/>
        </w:rPr>
        <w:t>。市场作为补充，抽样应当以本地生产品种为主。</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各监测点应具有代表性，基本能反映当地生产、上市销售的蔬菜、水果质量安全水平状况。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监测品种与</w:t>
      </w:r>
      <w:r>
        <w:rPr>
          <w:rFonts w:hint="eastAsia" w:ascii="黑体" w:hAnsi="黑体" w:eastAsia="黑体"/>
          <w:color w:val="auto"/>
          <w:sz w:val="32"/>
          <w:szCs w:val="32"/>
          <w:lang w:eastAsia="zh-CN"/>
        </w:rPr>
        <w:t>比例</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eastAsia="楷体_GB2312"/>
          <w:color w:val="auto"/>
          <w:sz w:val="32"/>
          <w:szCs w:val="32"/>
        </w:rPr>
      </w:pPr>
      <w:r>
        <w:rPr>
          <w:rFonts w:hint="eastAsia" w:eastAsia="楷体_GB2312"/>
          <w:color w:val="auto"/>
          <w:sz w:val="32"/>
          <w:szCs w:val="32"/>
        </w:rPr>
        <w:t>（一）监测品种</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eastAsia="仿宋_GB2312"/>
          <w:color w:val="auto"/>
          <w:sz w:val="32"/>
          <w:szCs w:val="32"/>
        </w:rPr>
      </w:pPr>
      <w:r>
        <w:rPr>
          <w:rFonts w:hint="eastAsia" w:ascii="仿宋_GB2312" w:hAnsi="仿宋_GB2312" w:eastAsia="仿宋_GB2312" w:cs="仿宋_GB2312"/>
          <w:color w:val="auto"/>
          <w:sz w:val="32"/>
          <w:szCs w:val="32"/>
        </w:rPr>
        <w:t>1.定量检测：依据季节选择主要时令蔬菜、水果品种作为监测对象。主要监测蔬菜品类为瓜果类（黄瓜、苦瓜、番茄、辣椒、茄子、丝瓜</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叶菜类（芥菜、菜薹、空心菜、芹菜、苦麦菜、生菜</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、白菜类即包括大白菜及小白菜、上海青等普通白菜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根茎类（韭菜、茎用莴苣、萝卜、莲藕、姜、葱</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）、豆类（豇豆即豆角、四季豆）等。水果抽检以当地产出品种为主。主要监测水果品类为柑橘类（皇帝柑、蜜桔、砂糖橘、橙子、沃柑、金桔</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）、浆果类（葡萄、草莓</w:t>
      </w:r>
      <w:r>
        <w:rPr>
          <w:rFonts w:hint="eastAsia" w:ascii="仿宋_GB2312" w:hAnsi="仿宋_GB2312" w:eastAsia="仿宋_GB2312" w:cs="仿宋_GB2312"/>
          <w:color w:val="auto"/>
          <w:sz w:val="32"/>
          <w:szCs w:val="32"/>
          <w:lang w:eastAsia="zh-CN"/>
        </w:rPr>
        <w:t>、火龙果</w:t>
      </w:r>
      <w:r>
        <w:rPr>
          <w:rFonts w:hint="eastAsia" w:ascii="仿宋_GB2312" w:hAnsi="仿宋_GB2312" w:eastAsia="仿宋_GB2312" w:cs="仿宋_GB2312"/>
          <w:color w:val="auto"/>
          <w:sz w:val="32"/>
          <w:szCs w:val="32"/>
        </w:rPr>
        <w:t>）、核果类（龙眼、荔枝、</w:t>
      </w:r>
      <w:r>
        <w:rPr>
          <w:rFonts w:hint="eastAsia" w:ascii="仿宋_GB2312" w:hAnsi="仿宋_GB2312" w:eastAsia="仿宋_GB2312" w:cs="仿宋_GB2312"/>
          <w:color w:val="auto"/>
          <w:sz w:val="32"/>
          <w:szCs w:val="32"/>
          <w:lang w:eastAsia="zh-CN"/>
        </w:rPr>
        <w:t>桃子、梨、李子</w:t>
      </w:r>
      <w:r>
        <w:rPr>
          <w:rFonts w:hint="eastAsia" w:ascii="仿宋_GB2312" w:hAnsi="仿宋_GB2312" w:eastAsia="仿宋_GB2312" w:cs="仿宋_GB2312"/>
          <w:color w:val="auto"/>
          <w:sz w:val="32"/>
          <w:szCs w:val="32"/>
        </w:rPr>
        <w:t>等）。监测的品种可根据当地实际情况或产销季节作适当调整。</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2.快速检测：可参照定量检测的蔬菜</w:t>
      </w:r>
      <w:r>
        <w:rPr>
          <w:rFonts w:hint="eastAsia" w:ascii="仿宋_GB2312" w:hAnsi="仿宋_GB2312" w:eastAsia="仿宋_GB2312" w:cs="仿宋_GB2312"/>
          <w:color w:val="auto"/>
          <w:sz w:val="32"/>
          <w:szCs w:val="32"/>
          <w:lang w:eastAsia="zh-CN"/>
        </w:rPr>
        <w:t>水果</w:t>
      </w:r>
      <w:r>
        <w:rPr>
          <w:rFonts w:hint="eastAsia" w:ascii="仿宋_GB2312" w:hAnsi="仿宋_GB2312" w:eastAsia="仿宋_GB2312" w:cs="仿宋_GB2312"/>
          <w:color w:val="auto"/>
          <w:sz w:val="32"/>
          <w:szCs w:val="32"/>
        </w:rPr>
        <w:t>监测品种执行。</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eastAsia="楷体_GB2312"/>
          <w:color w:val="auto"/>
          <w:sz w:val="32"/>
          <w:szCs w:val="32"/>
        </w:rPr>
      </w:pPr>
      <w:r>
        <w:rPr>
          <w:rFonts w:hint="eastAsia" w:eastAsia="楷体_GB2312"/>
          <w:color w:val="auto"/>
          <w:sz w:val="32"/>
          <w:szCs w:val="32"/>
        </w:rPr>
        <w:t>（二）抽样比例</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1.定量检测：</w:t>
      </w:r>
      <w:r>
        <w:rPr>
          <w:rFonts w:hint="eastAsia" w:ascii="仿宋_GB2312" w:hAnsi="仿宋_GB2312" w:eastAsia="仿宋_GB2312" w:cs="仿宋_GB2312"/>
          <w:color w:val="auto"/>
          <w:sz w:val="32"/>
          <w:szCs w:val="32"/>
          <w:lang w:eastAsia="zh-CN"/>
        </w:rPr>
        <w:t>自治区级抽样按照</w:t>
      </w:r>
      <w:r>
        <w:rPr>
          <w:rFonts w:hint="eastAsia" w:ascii="仿宋_GB2312" w:hAnsi="仿宋_GB2312" w:eastAsia="仿宋_GB2312" w:cs="仿宋_GB2312"/>
          <w:color w:val="auto"/>
          <w:sz w:val="32"/>
          <w:szCs w:val="32"/>
        </w:rPr>
        <w:t>蔬菜和水果抽样比例为</w:t>
      </w:r>
      <w:r>
        <w:rPr>
          <w:rFonts w:hint="default" w:ascii="Times New Roman" w:hAnsi="Times New Roman" w:eastAsia="仿宋_GB2312" w:cs="Times New Roman"/>
          <w:color w:val="auto"/>
          <w:sz w:val="32"/>
          <w:szCs w:val="32"/>
        </w:rPr>
        <w:t>6:4</w:t>
      </w:r>
      <w:r>
        <w:rPr>
          <w:rFonts w:hint="eastAsia" w:ascii="仿宋_GB2312" w:hAnsi="仿宋_GB2312" w:eastAsia="仿宋_GB2312" w:cs="仿宋_GB2312"/>
          <w:color w:val="auto"/>
          <w:sz w:val="32"/>
          <w:szCs w:val="32"/>
        </w:rPr>
        <w:t>，抽样环节在生产基地、运输车和批发市场的抽样比例为</w:t>
      </w:r>
      <w:r>
        <w:rPr>
          <w:rFonts w:hint="default" w:ascii="Times New Roman" w:hAnsi="Times New Roman" w:eastAsia="仿宋_GB2312" w:cs="Times New Roman"/>
          <w:color w:val="auto"/>
          <w:sz w:val="32"/>
          <w:szCs w:val="32"/>
        </w:rPr>
        <w:t>6：2：2</w:t>
      </w:r>
      <w:r>
        <w:rPr>
          <w:rFonts w:hint="eastAsia" w:ascii="仿宋_GB2312" w:hAnsi="仿宋_GB2312" w:eastAsia="仿宋_GB2312" w:cs="仿宋_GB2312"/>
          <w:color w:val="auto"/>
          <w:sz w:val="32"/>
          <w:szCs w:val="32"/>
        </w:rPr>
        <w:t>，每个生产基地同种蔬菜、水果抽样数量不超过</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批次，同种蔬果</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辆运输车1批次样品。</w:t>
      </w:r>
      <w:r>
        <w:rPr>
          <w:rFonts w:hint="eastAsia" w:ascii="仿宋_GB2312" w:hAnsi="仿宋_GB2312" w:eastAsia="仿宋_GB2312" w:cs="仿宋_GB2312"/>
          <w:color w:val="auto"/>
          <w:sz w:val="32"/>
          <w:szCs w:val="32"/>
          <w:lang w:eastAsia="zh-CN"/>
        </w:rPr>
        <w:t>市本级和县区抽样按照蔬菜和水果抽样比例</w:t>
      </w:r>
      <w:r>
        <w:rPr>
          <w:rFonts w:hint="default" w:ascii="Times New Roman" w:hAnsi="Times New Roman" w:eastAsia="仿宋_GB2312" w:cs="Times New Roman"/>
          <w:color w:val="auto"/>
          <w:sz w:val="32"/>
          <w:szCs w:val="32"/>
          <w:lang w:val="en-US" w:eastAsia="zh-CN"/>
        </w:rPr>
        <w:t>6:4</w:t>
      </w:r>
      <w:r>
        <w:rPr>
          <w:rFonts w:hint="eastAsia" w:ascii="仿宋_GB2312" w:hAnsi="仿宋_GB2312" w:eastAsia="仿宋_GB2312" w:cs="仿宋_GB2312"/>
          <w:color w:val="auto"/>
          <w:sz w:val="32"/>
          <w:szCs w:val="32"/>
          <w:lang w:val="en-US" w:eastAsia="zh-CN"/>
        </w:rPr>
        <w:t>（可根据季节和属地种植结构适当调整），抽样环节在种植基地、市场比例为</w:t>
      </w:r>
      <w:r>
        <w:rPr>
          <w:rFonts w:hint="default" w:ascii="Times New Roman" w:hAnsi="Times New Roman" w:eastAsia="仿宋_GB2312" w:cs="Times New Roman"/>
          <w:color w:val="auto"/>
          <w:sz w:val="32"/>
          <w:szCs w:val="32"/>
          <w:lang w:val="en-US" w:eastAsia="zh-CN"/>
        </w:rPr>
        <w:t>8:2</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2.快速检测：可参照</w:t>
      </w:r>
      <w:r>
        <w:rPr>
          <w:rFonts w:hint="eastAsia" w:ascii="仿宋_GB2312" w:hAnsi="仿宋_GB2312" w:eastAsia="仿宋_GB2312" w:cs="仿宋_GB2312"/>
          <w:color w:val="auto"/>
          <w:sz w:val="32"/>
          <w:szCs w:val="32"/>
          <w:lang w:eastAsia="zh-CN"/>
        </w:rPr>
        <w:t>市本级</w:t>
      </w:r>
      <w:r>
        <w:rPr>
          <w:rFonts w:hint="eastAsia" w:ascii="仿宋_GB2312" w:hAnsi="仿宋_GB2312" w:eastAsia="仿宋_GB2312" w:cs="仿宋_GB2312"/>
          <w:color w:val="auto"/>
          <w:sz w:val="32"/>
          <w:szCs w:val="32"/>
        </w:rPr>
        <w:t>定量检测的蔬菜</w:t>
      </w:r>
      <w:r>
        <w:rPr>
          <w:rFonts w:hint="eastAsia" w:ascii="仿宋_GB2312" w:hAnsi="仿宋_GB2312" w:eastAsia="仿宋_GB2312" w:cs="仿宋_GB2312"/>
          <w:color w:val="auto"/>
          <w:sz w:val="32"/>
          <w:szCs w:val="32"/>
          <w:lang w:eastAsia="zh-CN"/>
        </w:rPr>
        <w:t>水果</w:t>
      </w:r>
      <w:r>
        <w:rPr>
          <w:rFonts w:hint="eastAsia" w:ascii="仿宋_GB2312" w:hAnsi="仿宋_GB2312" w:eastAsia="仿宋_GB2312" w:cs="仿宋_GB2312"/>
          <w:color w:val="auto"/>
          <w:sz w:val="32"/>
          <w:szCs w:val="32"/>
        </w:rPr>
        <w:t>监测品种执行</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六、监测方法</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eastAsia="楷体_GB2312"/>
          <w:color w:val="auto"/>
          <w:sz w:val="32"/>
          <w:szCs w:val="32"/>
        </w:rPr>
      </w:pPr>
      <w:r>
        <w:rPr>
          <w:rFonts w:hint="eastAsia" w:eastAsia="楷体_GB2312"/>
          <w:color w:val="auto"/>
          <w:sz w:val="32"/>
          <w:szCs w:val="32"/>
        </w:rPr>
        <w:t>（一）监测时间</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1.定量检测：</w:t>
      </w:r>
      <w:r>
        <w:rPr>
          <w:rFonts w:hint="eastAsia" w:ascii="仿宋_GB2312" w:hAnsi="仿宋_GB2312" w:eastAsia="仿宋_GB2312" w:cs="仿宋_GB2312"/>
          <w:color w:val="auto"/>
          <w:sz w:val="32"/>
          <w:szCs w:val="32"/>
          <w:lang w:eastAsia="zh-CN"/>
        </w:rPr>
        <w:t>自治区级定量检测</w:t>
      </w:r>
      <w:r>
        <w:rPr>
          <w:rFonts w:hint="eastAsia" w:ascii="仿宋_GB2312" w:hAnsi="仿宋_GB2312" w:eastAsia="仿宋_GB2312" w:cs="仿宋_GB2312"/>
          <w:color w:val="auto"/>
          <w:sz w:val="32"/>
          <w:szCs w:val="32"/>
        </w:rPr>
        <w:t>每个季度</w:t>
      </w:r>
      <w:r>
        <w:rPr>
          <w:rFonts w:hint="eastAsia" w:ascii="仿宋_GB2312" w:hAnsi="仿宋_GB2312" w:eastAsia="仿宋_GB2312" w:cs="仿宋_GB2312"/>
          <w:color w:val="auto"/>
          <w:sz w:val="32"/>
          <w:szCs w:val="32"/>
          <w:lang w:eastAsia="zh-CN"/>
        </w:rPr>
        <w:t>开展</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，市本级定量检测每个月开展</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lang w:val="en-US" w:eastAsia="zh-CN"/>
        </w:rPr>
        <w:t>次。各县区开展的市本级抽样批次样品不得跟自治区级抽样同一批次的样品重复，避免出现同一批次同一个样品重复检测的情况。</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2.快速检测：</w:t>
      </w:r>
      <w:r>
        <w:rPr>
          <w:rFonts w:hint="eastAsia" w:ascii="仿宋_GB2312" w:hAnsi="仿宋_GB2312" w:eastAsia="仿宋_GB2312" w:cs="仿宋_GB2312"/>
          <w:color w:val="auto"/>
          <w:sz w:val="32"/>
          <w:szCs w:val="32"/>
          <w:lang w:eastAsia="zh-CN"/>
        </w:rPr>
        <w:t>各有关县区、乡镇</w:t>
      </w:r>
      <w:r>
        <w:rPr>
          <w:rFonts w:hint="eastAsia" w:ascii="仿宋_GB2312" w:hAnsi="仿宋_GB2312" w:eastAsia="仿宋_GB2312" w:cs="仿宋_GB2312"/>
          <w:color w:val="auto"/>
          <w:sz w:val="32"/>
          <w:szCs w:val="32"/>
        </w:rPr>
        <w:t>每月</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次，每月</w:t>
      </w:r>
      <w:r>
        <w:rPr>
          <w:rFonts w:hint="default"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日前完成检测并上报数据（实验室检测通过联网自动上报，田头流动检测通过制表后再网上输入上报）。</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eastAsia="楷体_GB2312"/>
          <w:color w:val="auto"/>
          <w:sz w:val="32"/>
          <w:szCs w:val="32"/>
        </w:rPr>
      </w:pPr>
      <w:r>
        <w:rPr>
          <w:rFonts w:hint="eastAsia" w:eastAsia="楷体_GB2312"/>
          <w:color w:val="auto"/>
          <w:sz w:val="32"/>
          <w:szCs w:val="32"/>
        </w:rPr>
        <w:t>（二）监测项目</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1.定量检测</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1.1自治区级定量检测项目</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蔬菜类监测项目为：甲胺磷、乙酰甲胺磷、甲拌磷、氧乐果、毒死蜱、特丁硫磷、三唑磷、水胺硫磷、治螟磷、乐果、甲基异柳磷、联苯菊酯、氯氟氰菊酯、氟氯氰菊酯、氯氰菊酯、甲氰菊酯、溴氰菊酯、醚菊酯、三唑酮、百菌清、腐霉利、丙溴磷、多菌灵、氟虫腈、啶虫脒、苯醚甲环唑、阿维菌素、氟啶脲、灭幼脲、灭蝇胺、克百威、噻虫嗪、甲霜灵、霜霉威、吡唑醚菌酯、氯吡脲、嘧霉胺、吡虫啉、呋虫胺、虱螨脲共</w:t>
      </w:r>
      <w:r>
        <w:rPr>
          <w:rFonts w:hint="default" w:ascii="Times New Roman" w:hAnsi="Times New Roman" w:eastAsia="仿宋_GB2312" w:cs="Times New Roman"/>
          <w:color w:val="auto"/>
          <w:sz w:val="32"/>
          <w:szCs w:val="32"/>
        </w:rPr>
        <w:t>40</w:t>
      </w:r>
      <w:r>
        <w:rPr>
          <w:rFonts w:hint="eastAsia" w:ascii="仿宋_GB2312" w:hAnsi="仿宋_GB2312" w:eastAsia="仿宋_GB2312" w:cs="仿宋_GB2312"/>
          <w:color w:val="auto"/>
          <w:sz w:val="32"/>
          <w:szCs w:val="32"/>
        </w:rPr>
        <w:t>种农药。</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果类监测项目为：甲胺磷、乙酰甲胺磷、甲拌磷、氧乐果、毒死蜱、敌敌畏、三唑磷、水胺硫磷、丙溴磷、乐果、甲基异柳磷、甲基毒死蜱、氯氰菊酯、氰戊菊酯、甲氰菊酯、氯氟氰菊酯、溴氰菊酯、联苯菊酯、异菌脲、腐霉利、克百威、涕灭威、阿维菌素、甲氨基阿维菌素苯甲酸盐、啶虫脒、烯酰吗啉、吡唑醚菌酯、炔螨特（克螨特）、乙螨唑、嘧菌酯、噻虫胺、噻虫嗪、丙环唑、螺虫乙酯、氟虫腈、哒螨灵、苯醚甲环唑、四螨嗪、虫螨腈、双甲脒共</w:t>
      </w:r>
      <w:r>
        <w:rPr>
          <w:rFonts w:hint="default" w:ascii="Times New Roman" w:hAnsi="Times New Roman" w:eastAsia="仿宋_GB2312" w:cs="Times New Roman"/>
          <w:color w:val="auto"/>
          <w:sz w:val="32"/>
          <w:szCs w:val="32"/>
        </w:rPr>
        <w:t>40</w:t>
      </w:r>
      <w:r>
        <w:rPr>
          <w:rFonts w:hint="eastAsia" w:ascii="仿宋_GB2312" w:hAnsi="仿宋_GB2312" w:eastAsia="仿宋_GB2312" w:cs="仿宋_GB2312"/>
          <w:color w:val="auto"/>
          <w:sz w:val="32"/>
          <w:szCs w:val="32"/>
        </w:rPr>
        <w:t>种农药。</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1.2市本级定量检测项目</w:t>
      </w:r>
    </w:p>
    <w:p>
      <w:pPr>
        <w:keepNext w:val="0"/>
        <w:keepLines w:val="0"/>
        <w:pageBreakBefore w:val="0"/>
        <w:widowControl/>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蔬菜（食用菌）：</w:t>
      </w:r>
      <w:r>
        <w:rPr>
          <w:rFonts w:hint="eastAsia" w:ascii="仿宋_GB2312" w:hAnsi="仿宋_GB2312" w:eastAsia="仿宋_GB2312" w:cs="仿宋_GB2312"/>
          <w:color w:val="auto"/>
          <w:sz w:val="32"/>
          <w:szCs w:val="32"/>
        </w:rPr>
        <w:t>氧化乐果、乐果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克百威（包括</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-羟基克百威）、毒死蜱、水胺硫磷、甲基异柳磷、三唑磷、氟虫腈</w:t>
      </w:r>
      <w:r>
        <w:rPr>
          <w:rFonts w:hint="eastAsia" w:ascii="仿宋_GB2312" w:hAnsi="仿宋_GB2312" w:eastAsia="仿宋_GB2312" w:cs="仿宋_GB2312"/>
          <w:color w:val="auto"/>
          <w:sz w:val="32"/>
          <w:szCs w:val="32"/>
          <w:lang w:eastAsia="zh-CN"/>
        </w:rPr>
        <w:t>、啶虫脒、</w:t>
      </w:r>
      <w:r>
        <w:rPr>
          <w:rFonts w:hint="eastAsia" w:ascii="仿宋_GB2312" w:hAnsi="仿宋_GB2312" w:eastAsia="仿宋_GB2312" w:cs="仿宋_GB2312"/>
          <w:color w:val="auto"/>
          <w:sz w:val="32"/>
          <w:szCs w:val="32"/>
        </w:rPr>
        <w:t>多菌灵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百菌清、联苯菊酯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氯氟氰菊酯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氯氰菊酯</w:t>
      </w:r>
      <w:r>
        <w:rPr>
          <w:rFonts w:hint="eastAsia" w:ascii="仿宋_GB2312" w:hAnsi="仿宋_GB2312" w:eastAsia="仿宋_GB2312" w:cs="仿宋_GB2312"/>
          <w:color w:val="auto"/>
          <w:sz w:val="32"/>
          <w:szCs w:val="32"/>
          <w:lang w:eastAsia="zh-CN"/>
        </w:rPr>
        <w:t>、甲氰菊酯、甲霜灵、乙酰甲胺磷、甲胺磷、灭蝇胺、敌敌畏共</w:t>
      </w:r>
      <w:r>
        <w:rPr>
          <w:rFonts w:hint="default" w:ascii="Times New Roman" w:hAnsi="Times New Roman" w:eastAsia="仿宋_GB2312" w:cs="Times New Roman"/>
          <w:color w:val="auto"/>
          <w:sz w:val="32"/>
          <w:szCs w:val="32"/>
          <w:lang w:val="en-US" w:eastAsia="zh-CN"/>
        </w:rPr>
        <w:t>20</w:t>
      </w:r>
      <w:r>
        <w:rPr>
          <w:rFonts w:hint="eastAsia" w:ascii="仿宋_GB2312" w:hAnsi="仿宋_GB2312" w:eastAsia="仿宋_GB2312" w:cs="仿宋_GB2312"/>
          <w:color w:val="auto"/>
          <w:sz w:val="32"/>
          <w:szCs w:val="32"/>
          <w:lang w:val="en-US" w:eastAsia="zh-CN"/>
        </w:rPr>
        <w:t>种。</w:t>
      </w:r>
    </w:p>
    <w:p>
      <w:pPr>
        <w:keepNext w:val="0"/>
        <w:keepLines w:val="0"/>
        <w:pageBreakBefore w:val="0"/>
        <w:widowControl/>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水果：</w:t>
      </w:r>
      <w:r>
        <w:rPr>
          <w:rFonts w:hint="eastAsia" w:ascii="仿宋_GB2312" w:hAnsi="仿宋_GB2312" w:eastAsia="仿宋_GB2312" w:cs="仿宋_GB2312"/>
          <w:color w:val="auto"/>
          <w:sz w:val="32"/>
          <w:szCs w:val="32"/>
        </w:rPr>
        <w:t>氧化乐果、</w:t>
      </w:r>
      <w:r>
        <w:rPr>
          <w:rFonts w:hint="eastAsia" w:ascii="仿宋_GB2312" w:hAnsi="仿宋_GB2312" w:eastAsia="仿宋_GB2312" w:cs="仿宋_GB2312"/>
          <w:color w:val="auto"/>
          <w:sz w:val="32"/>
          <w:szCs w:val="32"/>
          <w:lang w:eastAsia="zh-CN"/>
        </w:rPr>
        <w:t>乐果、</w:t>
      </w:r>
      <w:r>
        <w:rPr>
          <w:rFonts w:hint="eastAsia" w:ascii="仿宋_GB2312" w:hAnsi="仿宋_GB2312" w:eastAsia="仿宋_GB2312" w:cs="仿宋_GB2312"/>
          <w:color w:val="auto"/>
          <w:sz w:val="32"/>
          <w:szCs w:val="32"/>
        </w:rPr>
        <w:t>克百威（包括</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-羟基克百威）、毒死蜱、水胺硫磷、甲基异柳磷、甲基毒死蜱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三唑磷、丙溴磷、</w:t>
      </w:r>
      <w:r>
        <w:rPr>
          <w:rFonts w:hint="eastAsia" w:ascii="仿宋_GB2312" w:hAnsi="仿宋_GB2312" w:eastAsia="仿宋_GB2312" w:cs="仿宋_GB2312"/>
          <w:color w:val="auto"/>
          <w:sz w:val="32"/>
          <w:szCs w:val="32"/>
          <w:lang w:eastAsia="zh-CN"/>
        </w:rPr>
        <w:t>敌敌畏、</w:t>
      </w:r>
      <w:r>
        <w:rPr>
          <w:rFonts w:hint="eastAsia" w:ascii="仿宋_GB2312" w:hAnsi="仿宋_GB2312" w:eastAsia="仿宋_GB2312" w:cs="仿宋_GB2312"/>
          <w:color w:val="auto"/>
          <w:sz w:val="32"/>
          <w:szCs w:val="32"/>
        </w:rPr>
        <w:t>氟虫腈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腐霉利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联苯菊酯</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氰戊菊酯、甲氰菊酯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阿维菌素、甲氨基阿维菌素苯甲酸盐、苯醚甲环唑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啶虫脒、烯酰吗啉</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20种。</w:t>
      </w:r>
    </w:p>
    <w:p>
      <w:pPr>
        <w:keepNext w:val="0"/>
        <w:keepLines w:val="0"/>
        <w:pageBreakBefore w:val="0"/>
        <w:widowControl/>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 各县区定量检测项目</w:t>
      </w:r>
    </w:p>
    <w:p>
      <w:pPr>
        <w:keepNext w:val="0"/>
        <w:keepLines w:val="0"/>
        <w:pageBreakBefore w:val="0"/>
        <w:widowControl/>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各县区定量抽检项目，可以参照自治区和市本级方案。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_GB2312"/>
          <w:color w:val="auto"/>
          <w:sz w:val="32"/>
          <w:szCs w:val="32"/>
        </w:rPr>
      </w:pPr>
      <w:r>
        <w:rPr>
          <w:rFonts w:hint="eastAsia" w:ascii="仿宋_GB2312" w:hAnsi="仿宋_GB2312" w:eastAsia="仿宋_GB2312" w:cs="仿宋_GB2312"/>
          <w:color w:val="auto"/>
          <w:sz w:val="32"/>
          <w:szCs w:val="32"/>
          <w:lang w:val="en-US" w:eastAsia="zh-CN"/>
        </w:rPr>
        <w:t>2、快速检测：</w:t>
      </w:r>
      <w:r>
        <w:rPr>
          <w:rFonts w:hint="eastAsia" w:ascii="仿宋_GB2312" w:hAnsi="仿宋_GB2312" w:eastAsia="仿宋_GB2312" w:cs="仿宋_GB2312"/>
          <w:color w:val="auto"/>
          <w:sz w:val="32"/>
          <w:szCs w:val="32"/>
        </w:rPr>
        <w:t>快速检测法监测项目为有机磷和氨基甲酸酯农药残留，检测标准按</w:t>
      </w:r>
      <w:r>
        <w:rPr>
          <w:rFonts w:hint="default" w:ascii="Times New Roman" w:hAnsi="Times New Roman" w:eastAsia="仿宋_GB2312" w:cs="Times New Roman"/>
          <w:color w:val="auto"/>
          <w:sz w:val="32"/>
          <w:szCs w:val="32"/>
        </w:rPr>
        <w:t>GB/T5009.199－2003</w:t>
      </w:r>
      <w:r>
        <w:rPr>
          <w:rFonts w:hint="eastAsia" w:ascii="仿宋_GB2312" w:hAnsi="仿宋_GB2312" w:eastAsia="仿宋_GB2312" w:cs="仿宋_GB2312"/>
          <w:color w:val="auto"/>
          <w:sz w:val="32"/>
          <w:szCs w:val="32"/>
        </w:rPr>
        <w:t>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eastAsia="楷体_GB2312"/>
          <w:b w:val="0"/>
          <w:bCs/>
          <w:color w:val="auto"/>
          <w:sz w:val="32"/>
          <w:szCs w:val="32"/>
        </w:rPr>
      </w:pPr>
      <w:r>
        <w:rPr>
          <w:rFonts w:hint="eastAsia" w:ascii="楷体_GB2312" w:eastAsia="楷体_GB2312"/>
          <w:b w:val="0"/>
          <w:bCs/>
          <w:color w:val="auto"/>
          <w:sz w:val="32"/>
          <w:szCs w:val="32"/>
          <w:lang w:eastAsia="zh-CN"/>
        </w:rPr>
        <w:t>（三）</w:t>
      </w:r>
      <w:r>
        <w:rPr>
          <w:rFonts w:hint="eastAsia" w:ascii="楷体_GB2312" w:eastAsia="楷体_GB2312"/>
          <w:b w:val="0"/>
          <w:bCs/>
          <w:color w:val="auto"/>
          <w:sz w:val="32"/>
          <w:szCs w:val="32"/>
        </w:rPr>
        <w:t>抽样方法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按《农产品质量安全监测管理办法》（农业部令</w:t>
      </w:r>
      <w:r>
        <w:rPr>
          <w:rFonts w:hint="default" w:ascii="Times New Roman" w:hAnsi="Times New Roman" w:eastAsia="仿宋_GB2312" w:cs="Times New Roman"/>
          <w:color w:val="auto"/>
          <w:sz w:val="32"/>
          <w:szCs w:val="32"/>
        </w:rPr>
        <w:t>2012</w:t>
      </w:r>
      <w:r>
        <w:rPr>
          <w:rFonts w:hint="eastAsia" w:ascii="仿宋_GB2312" w:hAnsi="仿宋_GB2312" w:eastAsia="仿宋_GB2312" w:cs="仿宋_GB2312"/>
          <w:color w:val="auto"/>
          <w:sz w:val="32"/>
          <w:szCs w:val="32"/>
        </w:rPr>
        <w:t>年第</w:t>
      </w:r>
      <w:r>
        <w:rPr>
          <w:rFonts w:hint="default" w:ascii="Times New Roman" w:hAnsi="Times New Roman" w:eastAsia="仿宋_GB2312" w:cs="Times New Roman"/>
          <w:color w:val="auto"/>
          <w:sz w:val="32"/>
          <w:szCs w:val="32"/>
        </w:rPr>
        <w:t>7</w:t>
      </w:r>
      <w:r>
        <w:rPr>
          <w:rFonts w:hint="eastAsia" w:ascii="仿宋_GB2312" w:hAnsi="仿宋_GB2312" w:eastAsia="仿宋_GB2312" w:cs="仿宋_GB2312"/>
          <w:color w:val="auto"/>
          <w:sz w:val="32"/>
          <w:szCs w:val="32"/>
        </w:rPr>
        <w:t>号）及</w:t>
      </w:r>
      <w:r>
        <w:rPr>
          <w:rFonts w:hint="default" w:ascii="Times New Roman" w:hAnsi="Times New Roman" w:eastAsia="仿宋_GB2312" w:cs="Times New Roman"/>
          <w:color w:val="auto"/>
          <w:sz w:val="32"/>
          <w:szCs w:val="32"/>
        </w:rPr>
        <w:t>NY/T 789-2004</w:t>
      </w:r>
      <w:r>
        <w:rPr>
          <w:rFonts w:hint="eastAsia" w:ascii="仿宋_GB2312" w:hAnsi="仿宋_GB2312" w:eastAsia="仿宋_GB2312" w:cs="仿宋_GB2312"/>
          <w:color w:val="auto"/>
          <w:sz w:val="32"/>
          <w:szCs w:val="32"/>
        </w:rPr>
        <w:t>规定执行。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eastAsia="仿宋_GB2312"/>
          <w:color w:val="auto"/>
          <w:sz w:val="32"/>
          <w:szCs w:val="32"/>
        </w:rPr>
      </w:pPr>
      <w:r>
        <w:rPr>
          <w:rFonts w:hint="eastAsia" w:ascii="楷体_GB2312" w:eastAsia="楷体_GB2312"/>
          <w:b w:val="0"/>
          <w:bCs/>
          <w:color w:val="auto"/>
          <w:sz w:val="32"/>
          <w:szCs w:val="32"/>
        </w:rPr>
        <w:t>判定依据和原则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定量检测法监测结果按照我国农药残留限量标准进行判定，所监测项目全部合格者，判定为</w:t>
      </w:r>
      <w:r>
        <w:rPr>
          <w:rFonts w:eastAsia="仿宋_GB2312"/>
          <w:color w:val="auto"/>
          <w:sz w:val="32"/>
          <w:szCs w:val="32"/>
        </w:rPr>
        <w:t>“</w:t>
      </w:r>
      <w:r>
        <w:rPr>
          <w:rFonts w:hint="eastAsia" w:eastAsia="仿宋_GB2312"/>
          <w:color w:val="auto"/>
          <w:sz w:val="32"/>
          <w:szCs w:val="32"/>
        </w:rPr>
        <w:t>该产品所检项目合格</w:t>
      </w:r>
      <w:r>
        <w:rPr>
          <w:rFonts w:eastAsia="仿宋_GB2312"/>
          <w:color w:val="auto"/>
          <w:sz w:val="32"/>
          <w:szCs w:val="32"/>
        </w:rPr>
        <w:t>”</w:t>
      </w:r>
      <w:r>
        <w:rPr>
          <w:rFonts w:hint="eastAsia" w:eastAsia="仿宋_GB2312"/>
          <w:color w:val="auto"/>
          <w:sz w:val="32"/>
          <w:szCs w:val="32"/>
        </w:rPr>
        <w:t>；有一项指标不合格者，即判为</w:t>
      </w:r>
      <w:r>
        <w:rPr>
          <w:rFonts w:eastAsia="仿宋_GB2312"/>
          <w:color w:val="auto"/>
          <w:sz w:val="32"/>
          <w:szCs w:val="32"/>
        </w:rPr>
        <w:t>“</w:t>
      </w:r>
      <w:r>
        <w:rPr>
          <w:rFonts w:hint="eastAsia" w:eastAsia="仿宋_GB2312"/>
          <w:color w:val="auto"/>
          <w:sz w:val="32"/>
          <w:szCs w:val="32"/>
        </w:rPr>
        <w:t>该产品不合格</w:t>
      </w:r>
      <w:r>
        <w:rPr>
          <w:rFonts w:eastAsia="仿宋_GB2312"/>
          <w:color w:val="auto"/>
          <w:sz w:val="32"/>
          <w:szCs w:val="32"/>
        </w:rPr>
        <w:t>”</w:t>
      </w:r>
      <w:r>
        <w:rPr>
          <w:rFonts w:hint="eastAsia" w:eastAsia="仿宋_GB2312"/>
          <w:color w:val="auto"/>
          <w:sz w:val="32"/>
          <w:szCs w:val="32"/>
        </w:rPr>
        <w:t>；同时，参照</w:t>
      </w:r>
      <w:r>
        <w:rPr>
          <w:rFonts w:hint="default" w:ascii="Times New Roman" w:hAnsi="Times New Roman" w:eastAsia="仿宋_GB2312" w:cs="Times New Roman"/>
          <w:color w:val="auto"/>
          <w:sz w:val="32"/>
          <w:szCs w:val="32"/>
        </w:rPr>
        <w:t>CAC（FAO/WHO</w:t>
      </w:r>
      <w:r>
        <w:rPr>
          <w:rFonts w:hint="eastAsia" w:eastAsia="仿宋_GB2312"/>
          <w:color w:val="auto"/>
          <w:sz w:val="32"/>
          <w:szCs w:val="32"/>
        </w:rPr>
        <w:t>）、欧盟、美国、日本和韩国的标准或指令，对监测结果进行评价分析。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eastAsia="仿宋_GB2312"/>
          <w:color w:val="auto"/>
          <w:sz w:val="32"/>
          <w:szCs w:val="32"/>
        </w:rPr>
      </w:pPr>
      <w:r>
        <w:rPr>
          <w:rFonts w:hint="eastAsia" w:eastAsia="仿宋_GB2312"/>
          <w:color w:val="auto"/>
          <w:sz w:val="32"/>
          <w:szCs w:val="32"/>
        </w:rPr>
        <w:t>快速检测法监测结果按照</w:t>
      </w:r>
      <w:r>
        <w:rPr>
          <w:rFonts w:hint="default" w:ascii="Times New Roman" w:hAnsi="Times New Roman" w:eastAsia="仿宋_GB2312" w:cs="Times New Roman"/>
          <w:color w:val="auto"/>
          <w:sz w:val="32"/>
          <w:szCs w:val="32"/>
        </w:rPr>
        <w:t>GB/T5009.199－2003</w:t>
      </w:r>
      <w:r>
        <w:rPr>
          <w:rFonts w:hint="eastAsia" w:eastAsia="仿宋_GB2312"/>
          <w:color w:val="auto"/>
          <w:sz w:val="32"/>
          <w:szCs w:val="32"/>
        </w:rPr>
        <w:t>标准进行判定，农药残留抑制率超过</w:t>
      </w:r>
      <w:r>
        <w:rPr>
          <w:rFonts w:hint="default" w:ascii="Times New Roman" w:hAnsi="Times New Roman" w:eastAsia="仿宋_GB2312" w:cs="Times New Roman"/>
          <w:color w:val="auto"/>
          <w:sz w:val="32"/>
          <w:szCs w:val="32"/>
        </w:rPr>
        <w:t>50%</w:t>
      </w:r>
      <w:r>
        <w:rPr>
          <w:rFonts w:hint="eastAsia" w:eastAsia="仿宋_GB2312"/>
          <w:color w:val="auto"/>
          <w:sz w:val="32"/>
          <w:szCs w:val="32"/>
        </w:rPr>
        <w:t>的为不合格。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七、结果分析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eastAsia="楷体_GB2312"/>
          <w:b w:val="0"/>
          <w:bCs/>
          <w:color w:val="auto"/>
          <w:sz w:val="32"/>
          <w:szCs w:val="32"/>
        </w:rPr>
      </w:pPr>
      <w:r>
        <w:rPr>
          <w:rFonts w:hint="eastAsia" w:eastAsia="楷体_GB2312"/>
          <w:b w:val="0"/>
          <w:bCs/>
          <w:color w:val="auto"/>
          <w:sz w:val="32"/>
          <w:szCs w:val="32"/>
        </w:rPr>
        <w:t>（一）</w:t>
      </w:r>
      <w:r>
        <w:rPr>
          <w:rFonts w:hint="eastAsia" w:eastAsia="楷体_GB2312"/>
          <w:b w:val="0"/>
          <w:bCs/>
          <w:color w:val="auto"/>
          <w:sz w:val="32"/>
          <w:szCs w:val="32"/>
          <w:lang w:eastAsia="zh-CN"/>
        </w:rPr>
        <w:t>定量检测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eastAsia="楷体_GB2312"/>
          <w:color w:val="auto"/>
          <w:sz w:val="32"/>
          <w:szCs w:val="32"/>
        </w:rPr>
      </w:pPr>
      <w:r>
        <w:rPr>
          <w:rFonts w:hint="eastAsia" w:eastAsia="仿宋_GB2312"/>
          <w:color w:val="auto"/>
          <w:sz w:val="32"/>
          <w:szCs w:val="32"/>
        </w:rPr>
        <w:t>每次例行监测工作结束后，</w:t>
      </w:r>
      <w:r>
        <w:rPr>
          <w:rFonts w:hint="eastAsia" w:eastAsia="仿宋_GB2312"/>
          <w:color w:val="auto"/>
          <w:sz w:val="32"/>
          <w:szCs w:val="32"/>
          <w:lang w:eastAsia="zh-CN"/>
        </w:rPr>
        <w:t>由市农业技术推广中心负责</w:t>
      </w:r>
      <w:r>
        <w:rPr>
          <w:rFonts w:hint="eastAsia" w:eastAsia="仿宋_GB2312"/>
          <w:color w:val="auto"/>
          <w:sz w:val="32"/>
          <w:szCs w:val="32"/>
        </w:rPr>
        <w:t>对农药残留监测结果进行汇总分析，并分别编写监测报告，报告主要内容及相关要求如下：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eastAsia="楷体_GB2312"/>
          <w:color w:val="auto"/>
          <w:sz w:val="32"/>
          <w:szCs w:val="32"/>
        </w:rPr>
      </w:pPr>
      <w:r>
        <w:rPr>
          <w:rFonts w:hint="eastAsia" w:ascii="楷体_GB2312" w:hAnsi="楷体_GB2312" w:eastAsia="楷体_GB2312" w:cs="楷体_GB2312"/>
          <w:b w:val="0"/>
          <w:bCs/>
          <w:color w:val="auto"/>
          <w:sz w:val="32"/>
          <w:szCs w:val="32"/>
        </w:rPr>
        <w:t>1、基本情况。</w:t>
      </w:r>
      <w:r>
        <w:rPr>
          <w:rFonts w:hint="eastAsia" w:eastAsia="仿宋_GB2312"/>
          <w:color w:val="auto"/>
          <w:sz w:val="32"/>
          <w:szCs w:val="32"/>
        </w:rPr>
        <w:t>一是监测结果总体概况、监测品种、样品数量、监测项目以及生产基地和市场名称等。二是当地农产品质量安全监管总体情况，包括在监管工作中采取的主要措施和主要特点。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val="0"/>
          <w:bCs/>
          <w:color w:val="auto"/>
          <w:sz w:val="32"/>
          <w:szCs w:val="32"/>
        </w:rPr>
        <w:t>2、监测结果分析。</w:t>
      </w:r>
      <w:r>
        <w:rPr>
          <w:rFonts w:hint="eastAsia" w:ascii="仿宋_GB2312" w:hAnsi="仿宋_GB2312" w:eastAsia="仿宋_GB2312" w:cs="仿宋_GB2312"/>
          <w:color w:val="auto"/>
          <w:sz w:val="32"/>
          <w:szCs w:val="32"/>
        </w:rPr>
        <w:t>一是不同种类农产品农药残留监测结果比较。二是生产基地和各类市场农药残留监测结果比较。三是不同农药检出率和超标率比较（用于色谱检测法）。四是与</w:t>
      </w:r>
      <w:r>
        <w:rPr>
          <w:rFonts w:hint="default" w:ascii="Times New Roman" w:hAnsi="Times New Roman" w:eastAsia="仿宋_GB2312" w:cs="Times New Roman"/>
          <w:color w:val="auto"/>
          <w:sz w:val="32"/>
          <w:szCs w:val="32"/>
        </w:rPr>
        <w:t>CAC</w:t>
      </w:r>
      <w:r>
        <w:rPr>
          <w:rFonts w:hint="eastAsia" w:ascii="仿宋_GB2312" w:hAnsi="仿宋_GB2312" w:eastAsia="仿宋_GB2312" w:cs="仿宋_GB2312"/>
          <w:color w:val="auto"/>
          <w:sz w:val="32"/>
          <w:szCs w:val="32"/>
        </w:rPr>
        <w:t>、美国、欧盟、日本和韩国农药残留限量比较（用于色谱检测法）。五是监测发现的突出问题。六是不合格样品的溯源情况。不合格样品要提交定量色谱图和定性参考谱图。七是结合监测结果，分析存在问题及原因，并提出对策措施与建议，填写并报送例行监测结果汇总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eastAsia="楷体_GB2312"/>
          <w:b w:val="0"/>
          <w:bCs/>
          <w:color w:val="auto"/>
          <w:sz w:val="32"/>
          <w:szCs w:val="32"/>
        </w:rPr>
      </w:pPr>
      <w:r>
        <w:rPr>
          <w:rFonts w:hint="eastAsia" w:eastAsia="楷体_GB2312"/>
          <w:b w:val="0"/>
          <w:bCs/>
          <w:color w:val="auto"/>
          <w:sz w:val="32"/>
          <w:szCs w:val="32"/>
        </w:rPr>
        <w:t>（二）快速检测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对每一批次重点监测品种（集中上市的大宗食用农产品）的监测结果进行分析（包括总体概况、生产基地或市场名称、监测品种、样品数量、监测项目以及田头流动快速检测与实验室检测数据对比分析等）。</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对当地农产品质量安全监管总体情况（包括在监管工作中采取的主要措施和主要特点）进行分析总结。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olor w:val="auto"/>
          <w:sz w:val="32"/>
          <w:szCs w:val="32"/>
        </w:rPr>
      </w:pPr>
      <w:r>
        <w:rPr>
          <w:rFonts w:hint="eastAsia" w:ascii="黑体" w:hAnsi="黑体" w:eastAsia="黑体"/>
          <w:color w:val="auto"/>
          <w:sz w:val="32"/>
          <w:szCs w:val="32"/>
        </w:rPr>
        <w:t>八、结果报送与发布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eastAsia="楷体_GB2312"/>
          <w:b w:val="0"/>
          <w:bCs/>
          <w:color w:val="auto"/>
          <w:sz w:val="32"/>
          <w:szCs w:val="32"/>
        </w:rPr>
      </w:pPr>
      <w:r>
        <w:rPr>
          <w:rFonts w:hint="eastAsia" w:eastAsia="楷体_GB2312"/>
          <w:b w:val="0"/>
          <w:bCs/>
          <w:color w:val="auto"/>
          <w:sz w:val="32"/>
          <w:szCs w:val="32"/>
        </w:rPr>
        <w:t>（一）结果反馈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eastAsia="仿宋_GB2312"/>
          <w:color w:val="auto"/>
          <w:sz w:val="32"/>
          <w:szCs w:val="32"/>
        </w:rPr>
      </w:pPr>
      <w:r>
        <w:rPr>
          <w:rFonts w:hint="eastAsia" w:eastAsia="仿宋_GB2312"/>
          <w:color w:val="auto"/>
          <w:sz w:val="32"/>
          <w:szCs w:val="32"/>
        </w:rPr>
        <w:t>承担</w:t>
      </w:r>
      <w:r>
        <w:rPr>
          <w:rFonts w:hint="eastAsia" w:eastAsia="仿宋_GB2312"/>
          <w:color w:val="auto"/>
          <w:sz w:val="32"/>
          <w:szCs w:val="32"/>
          <w:lang w:eastAsia="zh-CN"/>
        </w:rPr>
        <w:t>抽检</w:t>
      </w:r>
      <w:r>
        <w:rPr>
          <w:rFonts w:hint="eastAsia" w:eastAsia="仿宋_GB2312"/>
          <w:color w:val="auto"/>
          <w:sz w:val="32"/>
          <w:szCs w:val="32"/>
        </w:rPr>
        <w:t>任务的市、县、乡各检测机构要及时将监测结果反馈给受检单位。当季较早抽检的，最迟半个月内反馈监测结果。发现有违规用药问题的，应在</w:t>
      </w:r>
      <w:r>
        <w:rPr>
          <w:rFonts w:hint="default" w:ascii="Times New Roman" w:hAnsi="Times New Roman" w:eastAsia="仿宋_GB2312" w:cs="Times New Roman"/>
          <w:color w:val="auto"/>
          <w:sz w:val="32"/>
          <w:szCs w:val="32"/>
        </w:rPr>
        <w:t>8</w:t>
      </w:r>
      <w:r>
        <w:rPr>
          <w:rFonts w:hint="eastAsia" w:eastAsia="仿宋_GB2312"/>
          <w:color w:val="auto"/>
          <w:sz w:val="32"/>
          <w:szCs w:val="32"/>
        </w:rPr>
        <w:t>小时内反馈给受检单位，同时报告自治区农业农村厅。乡镇监管服务站要将监测结果及时反馈县级农业农村部门。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7" w:firstLineChars="196"/>
        <w:jc w:val="both"/>
        <w:textAlignment w:val="auto"/>
        <w:rPr>
          <w:rFonts w:hint="eastAsia" w:eastAsia="楷体_GB2312"/>
          <w:b w:val="0"/>
          <w:bCs/>
          <w:color w:val="auto"/>
          <w:sz w:val="32"/>
          <w:szCs w:val="32"/>
        </w:rPr>
      </w:pPr>
      <w:r>
        <w:rPr>
          <w:rFonts w:hint="eastAsia" w:eastAsia="楷体_GB2312"/>
          <w:b w:val="0"/>
          <w:bCs/>
          <w:color w:val="auto"/>
          <w:sz w:val="32"/>
          <w:szCs w:val="32"/>
        </w:rPr>
        <w:t>结果汇总报送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自治区例行（风险）风险监测</w:t>
      </w:r>
      <w:r>
        <w:rPr>
          <w:rFonts w:hint="eastAsia" w:ascii="仿宋_GB2312" w:hAnsi="仿宋_GB2312" w:eastAsia="仿宋_GB2312" w:cs="仿宋_GB2312"/>
          <w:color w:val="auto"/>
          <w:sz w:val="32"/>
          <w:szCs w:val="32"/>
        </w:rPr>
        <w:t>前三季度结果报送于每个季度最后一个月的</w:t>
      </w:r>
      <w:r>
        <w:rPr>
          <w:rFonts w:hint="default"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日前，第四季度需在</w:t>
      </w:r>
      <w:r>
        <w:rPr>
          <w:rFonts w:hint="default" w:ascii="Times New Roman" w:hAnsi="Times New Roman" w:eastAsia="仿宋_GB2312" w:cs="Times New Roman"/>
          <w:color w:val="auto"/>
          <w:sz w:val="32"/>
          <w:szCs w:val="32"/>
          <w:lang w:val="en-US" w:eastAsia="zh-CN"/>
        </w:rPr>
        <w:t>11</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lang w:val="en-US" w:eastAsia="zh-CN"/>
        </w:rPr>
        <w:t>30</w:t>
      </w:r>
      <w:r>
        <w:rPr>
          <w:rFonts w:hint="eastAsia" w:ascii="仿宋_GB2312" w:hAnsi="仿宋_GB2312" w:eastAsia="仿宋_GB2312" w:cs="仿宋_GB2312"/>
          <w:color w:val="auto"/>
          <w:sz w:val="32"/>
          <w:szCs w:val="32"/>
        </w:rPr>
        <w:t>日前报送检测结果，</w:t>
      </w:r>
      <w:r>
        <w:rPr>
          <w:rFonts w:hint="default" w:ascii="Times New Roman" w:hAnsi="Times New Roman" w:eastAsia="仿宋_GB2312" w:cs="Times New Roman"/>
          <w:color w:val="auto"/>
          <w:sz w:val="32"/>
          <w:szCs w:val="32"/>
        </w:rPr>
        <w:t>12</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日前报全年检测报告及工作总结。</w:t>
      </w:r>
      <w:r>
        <w:rPr>
          <w:rFonts w:hint="eastAsia" w:ascii="仿宋_GB2312" w:hAnsi="仿宋_GB2312" w:eastAsia="仿宋_GB2312" w:cs="仿宋_GB2312"/>
          <w:color w:val="auto"/>
          <w:sz w:val="32"/>
          <w:szCs w:val="32"/>
          <w:lang w:eastAsia="zh-CN"/>
        </w:rPr>
        <w:t>请各单位将例行监测结果按时报送至市农业技术推广中心，市农业技术推广中心将本季度报告报送至市局质量安全与法规科，市局审核后，</w:t>
      </w:r>
      <w:r>
        <w:rPr>
          <w:rFonts w:hint="eastAsia" w:ascii="仿宋_GB2312" w:hAnsi="仿宋_GB2312" w:eastAsia="仿宋_GB2312" w:cs="仿宋_GB2312"/>
          <w:color w:val="auto"/>
          <w:sz w:val="32"/>
          <w:szCs w:val="32"/>
        </w:rPr>
        <w:t>以市为单位将</w:t>
      </w:r>
      <w:r>
        <w:rPr>
          <w:rFonts w:hint="eastAsia" w:ascii="仿宋_GB2312" w:hAnsi="仿宋_GB2312" w:eastAsia="仿宋_GB2312" w:cs="仿宋_GB2312"/>
          <w:color w:val="auto"/>
          <w:sz w:val="32"/>
          <w:szCs w:val="32"/>
          <w:lang w:eastAsia="zh-CN"/>
        </w:rPr>
        <w:t>我</w:t>
      </w:r>
      <w:r>
        <w:rPr>
          <w:rFonts w:hint="eastAsia" w:ascii="仿宋_GB2312" w:hAnsi="仿宋_GB2312" w:eastAsia="仿宋_GB2312" w:cs="仿宋_GB2312"/>
          <w:color w:val="auto"/>
          <w:sz w:val="32"/>
          <w:szCs w:val="32"/>
        </w:rPr>
        <w:t>市本季度例行监测报告，以正式文件和（附电子文档）形式分别报送农业</w:t>
      </w:r>
      <w:r>
        <w:rPr>
          <w:rFonts w:hint="eastAsia" w:ascii="仿宋_GB2312" w:hAnsi="仿宋_GB2312" w:eastAsia="仿宋_GB2312" w:cs="仿宋_GB2312"/>
          <w:color w:val="auto"/>
          <w:sz w:val="32"/>
          <w:szCs w:val="32"/>
          <w:lang w:eastAsia="zh-CN"/>
        </w:rPr>
        <w:t>农村</w:t>
      </w:r>
      <w:r>
        <w:rPr>
          <w:rFonts w:hint="eastAsia" w:ascii="仿宋_GB2312" w:hAnsi="仿宋_GB2312" w:eastAsia="仿宋_GB2312" w:cs="仿宋_GB2312"/>
          <w:color w:val="auto"/>
          <w:sz w:val="32"/>
          <w:szCs w:val="32"/>
        </w:rPr>
        <w:t>厅农产品质量安全监管处、自治区农产品质量安全检测中心，同时登陆自治区农产品质量安全监管系统填报监测结果（登陆网址：</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"http://221.7.135.56:8080/nongyesys/a/login）。" </w:instrText>
      </w:r>
      <w:r>
        <w:rPr>
          <w:rFonts w:hint="eastAsia" w:ascii="仿宋_GB2312" w:hAnsi="仿宋_GB2312" w:eastAsia="仿宋_GB2312" w:cs="仿宋_GB2312"/>
          <w:color w:val="auto"/>
          <w:sz w:val="32"/>
          <w:szCs w:val="32"/>
        </w:rPr>
        <w:fldChar w:fldCharType="separate"/>
      </w:r>
      <w:r>
        <w:rPr>
          <w:rStyle w:val="8"/>
          <w:rFonts w:hint="default" w:ascii="Times New Roman" w:hAnsi="Times New Roman" w:eastAsia="仿宋_GB2312" w:cs="Times New Roman"/>
          <w:color w:val="auto"/>
          <w:sz w:val="32"/>
          <w:szCs w:val="32"/>
          <w:u w:val="none"/>
        </w:rPr>
        <w:t>http://221.7.135.56:8080/nongyesys/a/login</w:t>
      </w:r>
      <w:r>
        <w:rPr>
          <w:rStyle w:val="8"/>
          <w:rFonts w:hint="eastAsia" w:ascii="仿宋_GB2312" w:hAnsi="仿宋_GB2312" w:eastAsia="仿宋_GB2312" w:cs="仿宋_GB2312"/>
          <w:color w:val="auto"/>
          <w:sz w:val="32"/>
          <w:szCs w:val="32"/>
          <w:u w:val="none"/>
        </w:rPr>
        <w:t>）。</w:t>
      </w:r>
      <w:r>
        <w:rPr>
          <w:rStyle w:val="8"/>
          <w:rFonts w:hint="eastAsia" w:ascii="仿宋_GB2312" w:hAnsi="仿宋_GB2312" w:eastAsia="仿宋_GB2312" w:cs="仿宋_GB2312"/>
          <w:color w:val="auto"/>
          <w:sz w:val="32"/>
          <w:szCs w:val="32"/>
          <w:u w:val="none"/>
        </w:rPr>
        <w:fldChar w:fldCharType="end"/>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27" w:firstLineChars="196"/>
        <w:jc w:val="both"/>
        <w:textAlignment w:val="auto"/>
        <w:rPr>
          <w:rFonts w:hint="eastAsia" w:eastAsia="楷体_GB2312"/>
          <w:b w:val="0"/>
          <w:bCs/>
          <w:color w:val="auto"/>
          <w:sz w:val="32"/>
          <w:szCs w:val="32"/>
        </w:rPr>
      </w:pPr>
      <w:r>
        <w:rPr>
          <w:rFonts w:hint="eastAsia" w:eastAsia="楷体_GB2312"/>
          <w:b w:val="0"/>
          <w:bCs/>
          <w:color w:val="auto"/>
          <w:sz w:val="32"/>
          <w:szCs w:val="32"/>
        </w:rPr>
        <w:t>结果发布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196" w:firstLine="640" w:firstLineChars="200"/>
        <w:jc w:val="both"/>
        <w:textAlignment w:val="auto"/>
        <w:rPr>
          <w:rFonts w:eastAsia="仿宋_GB2312"/>
          <w:color w:val="auto"/>
          <w:sz w:val="32"/>
          <w:szCs w:val="32"/>
        </w:rPr>
      </w:pPr>
      <w:r>
        <w:rPr>
          <w:rFonts w:hint="eastAsia" w:eastAsia="仿宋_GB2312"/>
          <w:color w:val="auto"/>
          <w:sz w:val="32"/>
          <w:szCs w:val="32"/>
        </w:rPr>
        <w:t>全</w:t>
      </w:r>
      <w:r>
        <w:rPr>
          <w:rFonts w:hint="eastAsia" w:eastAsia="仿宋_GB2312"/>
          <w:color w:val="auto"/>
          <w:sz w:val="32"/>
          <w:szCs w:val="32"/>
          <w:lang w:eastAsia="zh-CN"/>
        </w:rPr>
        <w:t>市例行监测</w:t>
      </w:r>
      <w:r>
        <w:rPr>
          <w:rFonts w:hint="eastAsia" w:eastAsia="仿宋_GB2312"/>
          <w:color w:val="auto"/>
          <w:sz w:val="32"/>
          <w:szCs w:val="32"/>
        </w:rPr>
        <w:t>风险评估报告经</w:t>
      </w:r>
      <w:r>
        <w:rPr>
          <w:rFonts w:hint="eastAsia" w:eastAsia="仿宋_GB2312"/>
          <w:color w:val="auto"/>
          <w:sz w:val="32"/>
          <w:szCs w:val="32"/>
          <w:lang w:eastAsia="zh-CN"/>
        </w:rPr>
        <w:t>市农业农村局</w:t>
      </w:r>
      <w:r>
        <w:rPr>
          <w:rFonts w:hint="eastAsia" w:eastAsia="仿宋_GB2312"/>
          <w:color w:val="auto"/>
          <w:sz w:val="32"/>
          <w:szCs w:val="32"/>
        </w:rPr>
        <w:t>领导审定后，以适当方式进行通报，全年通报</w:t>
      </w:r>
      <w:r>
        <w:rPr>
          <w:rFonts w:hint="default" w:ascii="Times New Roman" w:hAnsi="Times New Roman" w:eastAsia="仿宋_GB2312" w:cs="Times New Roman"/>
          <w:color w:val="auto"/>
          <w:sz w:val="32"/>
          <w:szCs w:val="32"/>
        </w:rPr>
        <w:t>4</w:t>
      </w:r>
      <w:r>
        <w:rPr>
          <w:rFonts w:hint="eastAsia" w:eastAsia="仿宋_GB2312"/>
          <w:color w:val="auto"/>
          <w:sz w:val="32"/>
          <w:szCs w:val="32"/>
        </w:rPr>
        <w:t>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九、</w:t>
      </w:r>
      <w:r>
        <w:rPr>
          <w:rFonts w:hint="eastAsia" w:ascii="黑体" w:hAnsi="黑体" w:eastAsia="黑体"/>
          <w:color w:val="auto"/>
          <w:sz w:val="32"/>
          <w:szCs w:val="32"/>
          <w:lang w:eastAsia="zh-CN"/>
        </w:rPr>
        <w:t>经费安排</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eastAsia="仿宋_GB2312"/>
          <w:color w:val="auto"/>
          <w:sz w:val="32"/>
          <w:szCs w:val="32"/>
        </w:rPr>
      </w:pPr>
      <w:r>
        <w:rPr>
          <w:rFonts w:hint="default" w:ascii="Times New Roman" w:hAnsi="Times New Roman" w:eastAsia="仿宋_GB2312" w:cs="Times New Roman"/>
          <w:color w:val="auto"/>
          <w:sz w:val="32"/>
          <w:szCs w:val="32"/>
        </w:rPr>
        <w:t>2021</w:t>
      </w:r>
      <w:r>
        <w:rPr>
          <w:rFonts w:hint="eastAsia" w:ascii="仿宋_GB2312" w:eastAsia="仿宋_GB2312"/>
          <w:color w:val="auto"/>
          <w:sz w:val="32"/>
          <w:szCs w:val="32"/>
        </w:rPr>
        <w:t>年</w:t>
      </w:r>
      <w:r>
        <w:rPr>
          <w:rFonts w:hint="eastAsia" w:ascii="仿宋_GB2312" w:eastAsia="仿宋_GB2312"/>
          <w:color w:val="auto"/>
          <w:sz w:val="32"/>
          <w:szCs w:val="32"/>
          <w:lang w:eastAsia="zh-CN"/>
        </w:rPr>
        <w:t>自治区</w:t>
      </w:r>
      <w:r>
        <w:rPr>
          <w:rFonts w:hint="eastAsia" w:ascii="仿宋_GB2312" w:eastAsia="仿宋_GB2312"/>
          <w:color w:val="auto"/>
          <w:sz w:val="32"/>
          <w:szCs w:val="32"/>
        </w:rPr>
        <w:t>补助市县农产品质量安全风险监测经费已经下达各任务承担单位。</w:t>
      </w:r>
      <w:r>
        <w:rPr>
          <w:rFonts w:hint="eastAsia" w:ascii="仿宋_GB2312" w:eastAsia="仿宋_GB2312"/>
          <w:color w:val="auto"/>
          <w:sz w:val="32"/>
          <w:szCs w:val="32"/>
        </w:rPr>
        <w:t>请各项目承担单位按照《自治区农业农村厅关于印发</w:t>
      </w:r>
      <w:r>
        <w:rPr>
          <w:rFonts w:hint="default" w:ascii="Times New Roman" w:hAnsi="Times New Roman" w:eastAsia="仿宋_GB2312" w:cs="Times New Roman"/>
          <w:color w:val="auto"/>
          <w:sz w:val="32"/>
          <w:szCs w:val="32"/>
        </w:rPr>
        <w:t>2021</w:t>
      </w:r>
      <w:r>
        <w:rPr>
          <w:rFonts w:hint="eastAsia" w:ascii="仿宋_GB2312" w:eastAsia="仿宋_GB2312"/>
          <w:color w:val="auto"/>
          <w:sz w:val="32"/>
          <w:szCs w:val="32"/>
        </w:rPr>
        <w:t>年自治区本级部门预算补助市县项目储备指南的通知》要求，加强项目资金管理，专款专用</w:t>
      </w:r>
      <w:r>
        <w:rPr>
          <w:rFonts w:hint="eastAsia" w:ascii="仿宋_GB2312" w:eastAsia="仿宋_GB2312"/>
          <w:color w:val="auto"/>
          <w:sz w:val="32"/>
          <w:szCs w:val="32"/>
          <w:lang w:eastAsia="zh-CN"/>
        </w:rPr>
        <w:t>，</w:t>
      </w:r>
      <w:r>
        <w:rPr>
          <w:rFonts w:hint="eastAsia" w:ascii="仿宋_GB2312" w:eastAsia="仿宋_GB2312"/>
          <w:color w:val="auto"/>
          <w:sz w:val="32"/>
          <w:szCs w:val="32"/>
        </w:rPr>
        <w:t>严禁挪用项目资金。</w:t>
      </w:r>
    </w:p>
    <w:p>
      <w:pPr>
        <w:keepNext w:val="0"/>
        <w:keepLines w:val="0"/>
        <w:pageBreakBefore w:val="0"/>
        <w:kinsoku/>
        <w:wordWrap/>
        <w:overflowPunct/>
        <w:topLinePunct w:val="0"/>
        <w:bidi w:val="0"/>
        <w:adjustRightInd/>
        <w:snapToGrid/>
        <w:spacing w:line="60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lang w:eastAsia="zh-CN"/>
        </w:rPr>
        <w:t>市本级抽检任务由市级财政及各县（区）共同承担，经费要求</w:t>
      </w:r>
      <w:r>
        <w:rPr>
          <w:rFonts w:hint="eastAsia" w:ascii="仿宋_GB2312" w:eastAsia="仿宋_GB2312"/>
          <w:color w:val="auto"/>
          <w:sz w:val="32"/>
          <w:szCs w:val="32"/>
          <w:lang w:eastAsia="zh-CN"/>
        </w:rPr>
        <w:t>另行通知</w:t>
      </w:r>
      <w:r>
        <w:rPr>
          <w:rFonts w:hint="eastAsia" w:ascii="仿宋_GB2312" w:hAnsi="仿宋_GB2312" w:eastAsia="仿宋_GB2312" w:cs="仿宋_GB2312"/>
          <w:color w:val="auto"/>
          <w:sz w:val="32"/>
          <w:szCs w:val="32"/>
          <w:lang w:eastAsia="zh-CN"/>
        </w:rPr>
        <w:t>。市级财政</w:t>
      </w:r>
      <w:r>
        <w:rPr>
          <w:rFonts w:hint="eastAsia" w:ascii="仿宋_GB2312" w:eastAsia="仿宋_GB2312"/>
          <w:color w:val="auto"/>
          <w:sz w:val="32"/>
          <w:szCs w:val="32"/>
          <w:lang w:val="en-US" w:eastAsia="zh-CN"/>
        </w:rPr>
        <w:t>经费</w:t>
      </w:r>
      <w:r>
        <w:rPr>
          <w:rFonts w:hint="eastAsia" w:ascii="仿宋_GB2312" w:eastAsia="仿宋_GB2312"/>
          <w:color w:val="auto"/>
          <w:sz w:val="32"/>
          <w:szCs w:val="32"/>
          <w:lang w:eastAsia="zh-CN"/>
        </w:rPr>
        <w:t>主要用于抽样及制样辅助设备、易耗品的购买、差旅支出、学习培训、</w:t>
      </w:r>
      <w:r>
        <w:rPr>
          <w:rFonts w:hint="eastAsia" w:ascii="仿宋_GB2312" w:eastAsia="仿宋_GB2312"/>
          <w:color w:val="auto"/>
          <w:sz w:val="32"/>
          <w:szCs w:val="32"/>
          <w:lang w:eastAsia="zh-CN"/>
        </w:rPr>
        <w:t>样品费及检验费用</w:t>
      </w:r>
      <w:r>
        <w:rPr>
          <w:rFonts w:hint="eastAsia" w:ascii="仿宋_GB2312" w:eastAsia="仿宋_GB2312"/>
          <w:color w:val="auto"/>
          <w:sz w:val="32"/>
          <w:szCs w:val="32"/>
        </w:rPr>
        <w:t>等</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eastAsia="仿宋_GB2312"/>
          <w:color w:val="auto"/>
          <w:sz w:val="32"/>
          <w:szCs w:val="32"/>
          <w:lang w:val="en-US" w:eastAsia="zh-CN"/>
        </w:rPr>
      </w:pPr>
      <w:r>
        <w:rPr>
          <w:rFonts w:hint="eastAsia" w:ascii="Times New Roman" w:eastAsia="仿宋_GB2312"/>
          <w:color w:val="auto"/>
          <w:sz w:val="32"/>
          <w:szCs w:val="32"/>
          <w:lang w:eastAsia="zh-CN"/>
        </w:rPr>
        <w:t>相关抽样程序、检测方法、结果统计表及结果判定等按照《</w:t>
      </w:r>
      <w:r>
        <w:rPr>
          <w:rFonts w:hint="default" w:ascii="Times New Roman" w:hAnsi="Times New Roman" w:eastAsia="仿宋_GB2312" w:cs="Times New Roman"/>
          <w:color w:val="auto"/>
          <w:sz w:val="32"/>
          <w:szCs w:val="32"/>
          <w:lang w:eastAsia="zh-CN"/>
        </w:rPr>
        <w:t>202</w:t>
      </w:r>
      <w:r>
        <w:rPr>
          <w:rFonts w:hint="default" w:ascii="Times New Roman" w:hAnsi="Times New Roman" w:eastAsia="仿宋_GB2312" w:cs="Times New Roman"/>
          <w:color w:val="auto"/>
          <w:sz w:val="32"/>
          <w:szCs w:val="32"/>
          <w:lang w:val="en-US" w:eastAsia="zh-CN"/>
        </w:rPr>
        <w:t>1</w:t>
      </w:r>
      <w:r>
        <w:rPr>
          <w:rFonts w:hint="eastAsia" w:ascii="Times New Roman" w:eastAsia="仿宋_GB2312"/>
          <w:color w:val="auto"/>
          <w:sz w:val="32"/>
          <w:szCs w:val="32"/>
          <w:lang w:eastAsia="zh-CN"/>
        </w:rPr>
        <w:t>年全区农产品（种植业）质量安全监测实施方案》的要求进行，</w:t>
      </w:r>
      <w:r>
        <w:rPr>
          <w:rFonts w:hint="default" w:ascii="Times New Roman" w:eastAsia="仿宋_GB2312"/>
          <w:color w:val="auto"/>
          <w:sz w:val="32"/>
          <w:szCs w:val="32"/>
        </w:rPr>
        <w:t>有关监测业务和技术问题，请联系</w:t>
      </w:r>
      <w:r>
        <w:rPr>
          <w:rFonts w:hint="eastAsia" w:ascii="Times New Roman" w:eastAsia="仿宋_GB2312"/>
          <w:color w:val="auto"/>
          <w:sz w:val="32"/>
          <w:szCs w:val="32"/>
          <w:lang w:eastAsia="zh-CN"/>
        </w:rPr>
        <w:t>市农业技术推广中心农产品质量安全生产指导科，联系人：胡支向，联系电话：</w:t>
      </w:r>
      <w:r>
        <w:rPr>
          <w:rFonts w:hint="default" w:ascii="Times New Roman" w:hAnsi="Times New Roman" w:eastAsia="仿宋_GB2312" w:cs="Times New Roman"/>
          <w:color w:val="auto"/>
          <w:sz w:val="32"/>
          <w:szCs w:val="32"/>
          <w:lang w:val="en-US" w:eastAsia="zh-CN"/>
        </w:rPr>
        <w:t>3972193</w:t>
      </w:r>
      <w:r>
        <w:rPr>
          <w:rFonts w:hint="eastAsia" w:ascii="仿宋_GB2312" w:hAnsi="仿宋_GB2312" w:eastAsia="仿宋_GB2312" w:cs="仿宋_GB2312"/>
          <w:color w:val="auto"/>
          <w:sz w:val="32"/>
          <w:szCs w:val="32"/>
          <w:lang w:val="en-US" w:eastAsia="zh-CN"/>
        </w:rPr>
        <w:t>，电子邮箱：</w:t>
      </w:r>
      <w:r>
        <w:rPr>
          <w:rFonts w:hint="default" w:ascii="Times New Roman" w:hAnsi="Times New Roman" w:eastAsia="仿宋_GB2312" w:cs="Times New Roman"/>
          <w:color w:val="auto"/>
          <w:sz w:val="32"/>
          <w:szCs w:val="32"/>
          <w:lang w:val="en-US" w:eastAsia="zh-CN"/>
        </w:rPr>
        <w:t>zdk@lzsnyncj.com</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olor w:val="auto"/>
          <w:sz w:val="32"/>
          <w:szCs w:val="32"/>
        </w:rPr>
      </w:pPr>
      <w:r>
        <w:rPr>
          <w:rFonts w:hint="eastAsia" w:ascii="仿宋_GB2312" w:eastAsia="仿宋_GB2312"/>
          <w:color w:val="auto"/>
          <w:sz w:val="32"/>
          <w:szCs w:val="32"/>
        </w:rPr>
        <w:t>附件：</w:t>
      </w:r>
      <w:r>
        <w:rPr>
          <w:rFonts w:hint="default" w:ascii="Times New Roman" w:hAnsi="Times New Roman" w:eastAsia="仿宋_GB2312" w:cs="Times New Roman"/>
          <w:color w:val="auto"/>
          <w:sz w:val="32"/>
          <w:szCs w:val="32"/>
          <w:lang w:val="en-US" w:eastAsia="zh-CN"/>
        </w:rPr>
        <w:t>2-1.</w:t>
      </w:r>
      <w:r>
        <w:rPr>
          <w:rFonts w:hint="eastAsia" w:ascii="仿宋_GB2312" w:eastAsia="仿宋_GB2312"/>
          <w:color w:val="auto"/>
          <w:sz w:val="32"/>
          <w:szCs w:val="32"/>
        </w:rPr>
        <w:t>柳州市</w:t>
      </w:r>
      <w:r>
        <w:rPr>
          <w:rFonts w:hint="default" w:ascii="Times New Roman" w:hAnsi="Times New Roman" w:eastAsia="仿宋_GB2312" w:cs="Times New Roman"/>
          <w:color w:val="auto"/>
          <w:sz w:val="32"/>
          <w:szCs w:val="32"/>
          <w:lang w:val="en-US" w:eastAsia="zh-CN"/>
        </w:rPr>
        <w:t>2021</w:t>
      </w:r>
      <w:r>
        <w:rPr>
          <w:rFonts w:hint="eastAsia" w:ascii="仿宋_GB2312" w:eastAsia="仿宋_GB2312"/>
          <w:color w:val="auto"/>
          <w:sz w:val="32"/>
          <w:szCs w:val="32"/>
        </w:rPr>
        <w:t>年种植业农产品质量安全监测任务表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eastAsia="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2-2.</w:t>
      </w:r>
      <w:r>
        <w:rPr>
          <w:rFonts w:hint="eastAsia" w:ascii="仿宋_GB2312" w:eastAsia="仿宋_GB2312"/>
          <w:color w:val="auto"/>
          <w:sz w:val="32"/>
          <w:szCs w:val="32"/>
          <w:lang w:val="en-US" w:eastAsia="zh-CN"/>
        </w:rPr>
        <w:t>柳州市各县区</w:t>
      </w:r>
      <w:r>
        <w:rPr>
          <w:rFonts w:hint="default" w:ascii="Times New Roman" w:hAnsi="Times New Roman" w:eastAsia="仿宋_GB2312" w:cs="Times New Roman"/>
          <w:color w:val="auto"/>
          <w:sz w:val="32"/>
          <w:szCs w:val="32"/>
          <w:lang w:val="en-US" w:eastAsia="zh-CN"/>
        </w:rPr>
        <w:t>85</w:t>
      </w:r>
      <w:r>
        <w:rPr>
          <w:rFonts w:hint="eastAsia" w:ascii="仿宋_GB2312" w:eastAsia="仿宋_GB2312"/>
          <w:color w:val="auto"/>
          <w:sz w:val="32"/>
          <w:szCs w:val="32"/>
          <w:lang w:val="en-US" w:eastAsia="zh-CN"/>
        </w:rPr>
        <w:t>个涉农乡镇名册</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eastAsia="仿宋_GB2312"/>
          <w:color w:val="auto"/>
          <w:sz w:val="32"/>
          <w:szCs w:val="32"/>
          <w:lang w:val="en-US" w:eastAsia="zh-CN"/>
        </w:rPr>
        <w:sectPr>
          <w:headerReference r:id="rId4" w:type="first"/>
          <w:footerReference r:id="rId7" w:type="first"/>
          <w:headerReference r:id="rId3" w:type="default"/>
          <w:footerReference r:id="rId5" w:type="default"/>
          <w:footerReference r:id="rId6" w:type="even"/>
          <w:pgSz w:w="11906" w:h="16838"/>
          <w:pgMar w:top="1440" w:right="1287" w:bottom="1440" w:left="1587" w:header="851" w:footer="992" w:gutter="0"/>
          <w:pgNumType w:fmt="decimal" w:start="1"/>
          <w:cols w:space="425" w:num="1"/>
          <w:titlePg/>
          <w:docGrid w:linePitch="312" w:charSpace="0"/>
        </w:sectPr>
      </w:pPr>
    </w:p>
    <w:p>
      <w:pPr>
        <w:spacing w:line="600" w:lineRule="exact"/>
        <w:rPr>
          <w:rFonts w:hint="default"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2-1</w:t>
      </w: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柳州市20</w:t>
      </w:r>
      <w:r>
        <w:rPr>
          <w:rFonts w:hint="eastAsia" w:ascii="方正小标宋简体" w:hAnsi="方正小标宋简体" w:eastAsia="方正小标宋简体" w:cs="方正小标宋简体"/>
          <w:color w:val="auto"/>
          <w:sz w:val="44"/>
          <w:szCs w:val="44"/>
          <w:lang w:val="en-US" w:eastAsia="zh-CN"/>
        </w:rPr>
        <w:t>21</w:t>
      </w:r>
      <w:r>
        <w:rPr>
          <w:rFonts w:hint="eastAsia" w:ascii="方正小标宋简体" w:hAnsi="方正小标宋简体" w:eastAsia="方正小标宋简体" w:cs="方正小标宋简体"/>
          <w:color w:val="auto"/>
          <w:sz w:val="44"/>
          <w:szCs w:val="44"/>
        </w:rPr>
        <w:t>年种植业农产品质量安全监测</w:t>
      </w:r>
    </w:p>
    <w:p>
      <w:pPr>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任务表</w:t>
      </w:r>
    </w:p>
    <w:tbl>
      <w:tblPr>
        <w:tblStyle w:val="5"/>
        <w:tblW w:w="10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890"/>
        <w:gridCol w:w="1056"/>
        <w:gridCol w:w="1162"/>
        <w:gridCol w:w="1350"/>
        <w:gridCol w:w="1763"/>
        <w:gridCol w:w="131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vMerge w:val="restart"/>
            <w:vAlign w:val="center"/>
          </w:tcPr>
          <w:p>
            <w:pPr>
              <w:spacing w:line="32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监测单位</w:t>
            </w:r>
          </w:p>
        </w:tc>
        <w:tc>
          <w:tcPr>
            <w:tcW w:w="4458" w:type="dxa"/>
            <w:gridSpan w:val="4"/>
            <w:vAlign w:val="center"/>
          </w:tcPr>
          <w:p>
            <w:pPr>
              <w:spacing w:line="32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自治区农业</w:t>
            </w:r>
            <w:r>
              <w:rPr>
                <w:rFonts w:hint="eastAsia" w:ascii="仿宋_GB2312" w:hAnsi="仿宋_GB2312" w:eastAsia="仿宋_GB2312" w:cs="仿宋_GB2312"/>
                <w:b/>
                <w:bCs/>
                <w:color w:val="auto"/>
                <w:sz w:val="24"/>
                <w:szCs w:val="24"/>
                <w:lang w:eastAsia="zh-CN"/>
              </w:rPr>
              <w:t>农村</w:t>
            </w:r>
            <w:r>
              <w:rPr>
                <w:rFonts w:hint="eastAsia" w:ascii="仿宋_GB2312" w:hAnsi="仿宋_GB2312" w:eastAsia="仿宋_GB2312" w:cs="仿宋_GB2312"/>
                <w:b/>
                <w:bCs/>
                <w:color w:val="auto"/>
                <w:sz w:val="24"/>
                <w:szCs w:val="24"/>
              </w:rPr>
              <w:t>厅安排的任务</w:t>
            </w:r>
          </w:p>
        </w:tc>
        <w:tc>
          <w:tcPr>
            <w:tcW w:w="1763" w:type="dxa"/>
            <w:vAlign w:val="center"/>
          </w:tcPr>
          <w:p>
            <w:pPr>
              <w:spacing w:line="320" w:lineRule="exact"/>
              <w:jc w:val="cente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市</w:t>
            </w:r>
            <w:r>
              <w:rPr>
                <w:rFonts w:hint="eastAsia" w:ascii="仿宋_GB2312" w:hAnsi="仿宋_GB2312" w:eastAsia="仿宋_GB2312" w:cs="仿宋_GB2312"/>
                <w:b/>
                <w:bCs/>
                <w:color w:val="auto"/>
                <w:sz w:val="24"/>
                <w:szCs w:val="24"/>
                <w:highlight w:val="none"/>
              </w:rPr>
              <w:t>农业</w:t>
            </w:r>
            <w:r>
              <w:rPr>
                <w:rFonts w:hint="eastAsia" w:ascii="仿宋_GB2312" w:hAnsi="仿宋_GB2312" w:eastAsia="仿宋_GB2312" w:cs="仿宋_GB2312"/>
                <w:b/>
                <w:bCs/>
                <w:color w:val="auto"/>
                <w:sz w:val="24"/>
                <w:szCs w:val="24"/>
                <w:highlight w:val="none"/>
                <w:lang w:eastAsia="zh-CN"/>
              </w:rPr>
              <w:t>农村局</w:t>
            </w:r>
          </w:p>
          <w:p>
            <w:pPr>
              <w:spacing w:line="32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lang w:eastAsia="zh-CN"/>
              </w:rPr>
              <w:t>安排的</w:t>
            </w:r>
            <w:r>
              <w:rPr>
                <w:rFonts w:hint="eastAsia" w:ascii="仿宋_GB2312" w:hAnsi="仿宋_GB2312" w:eastAsia="仿宋_GB2312" w:cs="仿宋_GB2312"/>
                <w:b/>
                <w:bCs/>
                <w:color w:val="auto"/>
                <w:sz w:val="24"/>
                <w:szCs w:val="24"/>
                <w:highlight w:val="none"/>
              </w:rPr>
              <w:t>任务</w:t>
            </w:r>
          </w:p>
        </w:tc>
        <w:tc>
          <w:tcPr>
            <w:tcW w:w="1314" w:type="dxa"/>
            <w:vMerge w:val="restart"/>
            <w:vAlign w:val="center"/>
          </w:tcPr>
          <w:p>
            <w:pPr>
              <w:spacing w:line="320" w:lineRule="exact"/>
              <w:jc w:val="center"/>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各县区自行完成定量抽检任务（份）</w:t>
            </w:r>
          </w:p>
        </w:tc>
        <w:tc>
          <w:tcPr>
            <w:tcW w:w="1315" w:type="dxa"/>
            <w:vMerge w:val="restart"/>
            <w:vAlign w:val="center"/>
          </w:tcPr>
          <w:p>
            <w:pPr>
              <w:spacing w:line="32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vMerge w:val="continue"/>
            <w:vAlign w:val="center"/>
          </w:tcPr>
          <w:p>
            <w:pPr>
              <w:spacing w:line="320" w:lineRule="exact"/>
              <w:jc w:val="center"/>
              <w:rPr>
                <w:rFonts w:hint="eastAsia" w:ascii="仿宋_GB2312" w:hAnsi="仿宋_GB2312" w:eastAsia="仿宋_GB2312" w:cs="仿宋_GB2312"/>
                <w:b/>
                <w:bCs/>
                <w:color w:val="auto"/>
                <w:sz w:val="24"/>
                <w:szCs w:val="24"/>
              </w:rPr>
            </w:pPr>
          </w:p>
        </w:tc>
        <w:tc>
          <w:tcPr>
            <w:tcW w:w="890" w:type="dxa"/>
            <w:vAlign w:val="center"/>
          </w:tcPr>
          <w:p>
            <w:pPr>
              <w:spacing w:line="320" w:lineRule="exac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定量检测</w:t>
            </w:r>
            <w:r>
              <w:rPr>
                <w:rFonts w:hint="eastAsia" w:ascii="仿宋_GB2312" w:hAnsi="仿宋_GB2312" w:eastAsia="仿宋_GB2312" w:cs="仿宋_GB2312"/>
                <w:b/>
                <w:bCs/>
                <w:color w:val="auto"/>
                <w:sz w:val="24"/>
                <w:szCs w:val="24"/>
                <w:lang w:eastAsia="zh-CN"/>
              </w:rPr>
              <w:t>（份）</w:t>
            </w:r>
          </w:p>
        </w:tc>
        <w:tc>
          <w:tcPr>
            <w:tcW w:w="1056" w:type="dxa"/>
            <w:vAlign w:val="center"/>
          </w:tcPr>
          <w:p>
            <w:pPr>
              <w:spacing w:line="32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县区快速检测</w:t>
            </w:r>
          </w:p>
          <w:p>
            <w:pPr>
              <w:spacing w:line="32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（份）</w:t>
            </w:r>
          </w:p>
        </w:tc>
        <w:tc>
          <w:tcPr>
            <w:tcW w:w="1162" w:type="dxa"/>
            <w:vAlign w:val="center"/>
          </w:tcPr>
          <w:p>
            <w:pPr>
              <w:spacing w:line="32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乡镇快速检测（份）</w:t>
            </w:r>
          </w:p>
        </w:tc>
        <w:tc>
          <w:tcPr>
            <w:tcW w:w="1350" w:type="dxa"/>
            <w:vAlign w:val="center"/>
          </w:tcPr>
          <w:p>
            <w:pPr>
              <w:spacing w:line="32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定量检测抽样</w:t>
            </w:r>
            <w:r>
              <w:rPr>
                <w:rFonts w:hint="eastAsia" w:ascii="仿宋_GB2312" w:hAnsi="仿宋_GB2312" w:eastAsia="仿宋_GB2312" w:cs="仿宋_GB2312"/>
                <w:b/>
                <w:bCs/>
                <w:color w:val="auto"/>
                <w:sz w:val="24"/>
                <w:szCs w:val="24"/>
              </w:rPr>
              <w:t>任务</w:t>
            </w:r>
          </w:p>
          <w:p>
            <w:pPr>
              <w:spacing w:line="32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（份）</w:t>
            </w:r>
          </w:p>
        </w:tc>
        <w:tc>
          <w:tcPr>
            <w:tcW w:w="1763" w:type="dxa"/>
            <w:vAlign w:val="center"/>
          </w:tcPr>
          <w:p>
            <w:pPr>
              <w:spacing w:line="320" w:lineRule="exact"/>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定量检测</w:t>
            </w:r>
          </w:p>
          <w:p>
            <w:pPr>
              <w:spacing w:line="320" w:lineRule="exact"/>
              <w:jc w:val="cente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抽样</w:t>
            </w:r>
            <w:r>
              <w:rPr>
                <w:rFonts w:hint="eastAsia" w:ascii="仿宋_GB2312" w:hAnsi="仿宋_GB2312" w:eastAsia="仿宋_GB2312" w:cs="仿宋_GB2312"/>
                <w:b/>
                <w:bCs/>
                <w:color w:val="auto"/>
                <w:sz w:val="24"/>
                <w:szCs w:val="24"/>
                <w:highlight w:val="none"/>
                <w:lang w:eastAsia="zh-CN"/>
              </w:rPr>
              <w:t>任务</w:t>
            </w:r>
          </w:p>
          <w:p>
            <w:pPr>
              <w:spacing w:line="32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（份）</w:t>
            </w:r>
          </w:p>
        </w:tc>
        <w:tc>
          <w:tcPr>
            <w:tcW w:w="1314" w:type="dxa"/>
            <w:vMerge w:val="continue"/>
            <w:vAlign w:val="center"/>
          </w:tcPr>
          <w:p>
            <w:pPr>
              <w:spacing w:line="320" w:lineRule="exact"/>
              <w:jc w:val="center"/>
              <w:rPr>
                <w:rFonts w:hint="eastAsia" w:ascii="仿宋_GB2312" w:hAnsi="仿宋_GB2312" w:eastAsia="仿宋_GB2312" w:cs="仿宋_GB2312"/>
                <w:b/>
                <w:bCs/>
                <w:color w:val="auto"/>
                <w:sz w:val="24"/>
                <w:szCs w:val="24"/>
                <w:lang w:val="en-US" w:eastAsia="zh-CN"/>
              </w:rPr>
            </w:pPr>
          </w:p>
        </w:tc>
        <w:tc>
          <w:tcPr>
            <w:tcW w:w="1315" w:type="dxa"/>
            <w:vMerge w:val="continue"/>
            <w:vAlign w:val="center"/>
          </w:tcPr>
          <w:p>
            <w:pPr>
              <w:spacing w:line="320" w:lineRule="exact"/>
              <w:jc w:val="center"/>
              <w:rPr>
                <w:rFonts w:hint="eastAsia" w:ascii="仿宋_GB2312" w:hAnsi="仿宋_GB2312" w:eastAsia="仿宋_GB2312" w:cs="仿宋_GB2312"/>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市农业技术推广中心</w:t>
            </w:r>
          </w:p>
        </w:tc>
        <w:tc>
          <w:tcPr>
            <w:tcW w:w="890"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056"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162"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350"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839</w:t>
            </w:r>
          </w:p>
        </w:tc>
        <w:tc>
          <w:tcPr>
            <w:tcW w:w="1763" w:type="dxa"/>
            <w:vAlign w:val="center"/>
          </w:tcPr>
          <w:p>
            <w:pPr>
              <w:spacing w:line="320" w:lineRule="exact"/>
              <w:ind w:firstLine="720" w:firstLineChars="30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314"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315" w:type="dxa"/>
            <w:vAlign w:val="center"/>
          </w:tcPr>
          <w:p>
            <w:pPr>
              <w:spacing w:line="32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柳江区农业</w:t>
            </w:r>
            <w:r>
              <w:rPr>
                <w:rFonts w:hint="eastAsia" w:ascii="仿宋_GB2312" w:hAnsi="仿宋_GB2312" w:eastAsia="仿宋_GB2312" w:cs="仿宋_GB2312"/>
                <w:color w:val="auto"/>
                <w:sz w:val="24"/>
                <w:szCs w:val="24"/>
                <w:lang w:eastAsia="zh-CN"/>
              </w:rPr>
              <w:t>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68</w:t>
            </w:r>
          </w:p>
        </w:tc>
        <w:tc>
          <w:tcPr>
            <w:tcW w:w="1056"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840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1920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400</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200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柳城县农业</w:t>
            </w:r>
            <w:r>
              <w:rPr>
                <w:rFonts w:hint="eastAsia" w:ascii="仿宋_GB2312" w:hAnsi="仿宋_GB2312" w:eastAsia="仿宋_GB2312" w:cs="仿宋_GB2312"/>
                <w:color w:val="auto"/>
                <w:sz w:val="24"/>
                <w:szCs w:val="24"/>
                <w:lang w:eastAsia="zh-CN"/>
              </w:rPr>
              <w:t>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840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2880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400</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200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鹿寨县农业</w:t>
            </w:r>
            <w:r>
              <w:rPr>
                <w:rFonts w:hint="eastAsia" w:ascii="仿宋_GB2312" w:hAnsi="仿宋_GB2312" w:eastAsia="仿宋_GB2312" w:cs="仿宋_GB2312"/>
                <w:color w:val="auto"/>
                <w:sz w:val="24"/>
                <w:szCs w:val="24"/>
                <w:lang w:eastAsia="zh-CN"/>
              </w:rPr>
              <w:t>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840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2160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400</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200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融安县农业</w:t>
            </w:r>
            <w:r>
              <w:rPr>
                <w:rFonts w:hint="eastAsia" w:ascii="仿宋_GB2312" w:hAnsi="仿宋_GB2312" w:eastAsia="仿宋_GB2312" w:cs="仿宋_GB2312"/>
                <w:color w:val="auto"/>
                <w:sz w:val="24"/>
                <w:szCs w:val="24"/>
                <w:lang w:eastAsia="zh-CN"/>
              </w:rPr>
              <w:t>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840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2880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200</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200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融水县农业</w:t>
            </w:r>
            <w:r>
              <w:rPr>
                <w:rFonts w:hint="eastAsia" w:ascii="仿宋_GB2312" w:hAnsi="仿宋_GB2312" w:eastAsia="仿宋_GB2312" w:cs="仿宋_GB2312"/>
                <w:color w:val="auto"/>
                <w:sz w:val="24"/>
                <w:szCs w:val="24"/>
                <w:lang w:eastAsia="zh-CN"/>
              </w:rPr>
              <w:t>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68</w:t>
            </w:r>
          </w:p>
        </w:tc>
        <w:tc>
          <w:tcPr>
            <w:tcW w:w="1056"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840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4800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65</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200</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200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6173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三江县农业</w:t>
            </w:r>
            <w:r>
              <w:rPr>
                <w:rFonts w:hint="eastAsia" w:ascii="仿宋_GB2312" w:hAnsi="仿宋_GB2312" w:eastAsia="仿宋_GB2312" w:cs="仿宋_GB2312"/>
                <w:color w:val="auto"/>
                <w:sz w:val="24"/>
                <w:szCs w:val="24"/>
                <w:lang w:eastAsia="zh-CN"/>
              </w:rPr>
              <w:t>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840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3600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55</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150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柳北区</w:t>
            </w:r>
            <w:r>
              <w:rPr>
                <w:rFonts w:hint="eastAsia" w:ascii="仿宋_GB2312" w:hAnsi="仿宋_GB2312" w:eastAsia="仿宋_GB2312" w:cs="仿宋_GB2312"/>
                <w:color w:val="auto"/>
                <w:sz w:val="24"/>
                <w:szCs w:val="24"/>
                <w:lang w:eastAsia="zh-CN"/>
              </w:rPr>
              <w:t>农业农村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720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50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柳南区</w:t>
            </w:r>
            <w:r>
              <w:rPr>
                <w:rFonts w:hint="eastAsia" w:ascii="仿宋_GB2312" w:hAnsi="仿宋_GB2312" w:eastAsia="仿宋_GB2312" w:cs="仿宋_GB2312"/>
                <w:color w:val="auto"/>
                <w:sz w:val="24"/>
                <w:szCs w:val="24"/>
                <w:lang w:eastAsia="zh-CN"/>
              </w:rPr>
              <w:t>农业农村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840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720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100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鱼峰区</w:t>
            </w:r>
            <w:r>
              <w:rPr>
                <w:rFonts w:hint="eastAsia" w:ascii="仿宋_GB2312" w:hAnsi="仿宋_GB2312" w:eastAsia="仿宋_GB2312" w:cs="仿宋_GB2312"/>
                <w:color w:val="auto"/>
                <w:sz w:val="24"/>
                <w:szCs w:val="24"/>
                <w:lang w:eastAsia="zh-CN"/>
              </w:rPr>
              <w:t>农业农村</w:t>
            </w:r>
            <w:r>
              <w:rPr>
                <w:rFonts w:hint="eastAsia" w:ascii="仿宋_GB2312" w:hAnsi="仿宋_GB2312" w:eastAsia="仿宋_GB2312" w:cs="仿宋_GB2312"/>
                <w:color w:val="auto"/>
                <w:sz w:val="24"/>
                <w:szCs w:val="24"/>
              </w:rPr>
              <w:t>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480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100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城中区农业农村局</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62"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763"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50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柳东新区</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240</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w:t>
            </w:r>
          </w:p>
        </w:tc>
        <w:tc>
          <w:tcPr>
            <w:tcW w:w="1763"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w:t>
            </w:r>
          </w:p>
        </w:tc>
        <w:tc>
          <w:tcPr>
            <w:tcW w:w="1314" w:type="dxa"/>
            <w:vAlign w:val="center"/>
          </w:tcPr>
          <w:p>
            <w:pPr>
              <w:keepNext w:val="0"/>
              <w:keepLines w:val="0"/>
              <w:widowControl/>
              <w:suppressLineNumbers w:val="0"/>
              <w:jc w:val="center"/>
              <w:textAlignment w:val="center"/>
              <w:rPr>
                <w:rFonts w:hint="default"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50</w:t>
            </w:r>
          </w:p>
        </w:tc>
        <w:tc>
          <w:tcPr>
            <w:tcW w:w="1315" w:type="dxa"/>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24"/>
                <w:szCs w:val="24"/>
                <w:u w:val="none"/>
                <w:lang w:val="en-US" w:eastAsia="zh-CN" w:bidi="ar"/>
              </w:rPr>
            </w:pPr>
            <w:r>
              <w:rPr>
                <w:rFonts w:hint="eastAsia" w:ascii="仿宋_GB2312" w:hAnsi="宋体" w:eastAsia="仿宋_GB2312" w:cs="仿宋_GB2312"/>
                <w:i w:val="0"/>
                <w:color w:val="auto"/>
                <w:kern w:val="0"/>
                <w:sz w:val="24"/>
                <w:szCs w:val="24"/>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运输车</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62"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164</w:t>
            </w:r>
          </w:p>
        </w:tc>
        <w:tc>
          <w:tcPr>
            <w:tcW w:w="1763"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314"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p>
        </w:tc>
        <w:tc>
          <w:tcPr>
            <w:tcW w:w="131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批发</w:t>
            </w:r>
            <w:r>
              <w:rPr>
                <w:rFonts w:hint="eastAsia" w:ascii="仿宋_GB2312" w:hAnsi="仿宋_GB2312" w:eastAsia="仿宋_GB2312" w:cs="仿宋_GB2312"/>
                <w:color w:val="auto"/>
                <w:sz w:val="24"/>
                <w:szCs w:val="24"/>
              </w:rPr>
              <w:t>市场</w:t>
            </w:r>
          </w:p>
        </w:tc>
        <w:tc>
          <w:tcPr>
            <w:tcW w:w="890"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056"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162"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p>
        </w:tc>
        <w:tc>
          <w:tcPr>
            <w:tcW w:w="1350" w:type="dxa"/>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165</w:t>
            </w:r>
          </w:p>
        </w:tc>
        <w:tc>
          <w:tcPr>
            <w:tcW w:w="176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314" w:type="dxa"/>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p>
        </w:tc>
        <w:tc>
          <w:tcPr>
            <w:tcW w:w="131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09" w:type="dxa"/>
            <w:vMerge w:val="restart"/>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小计</w:t>
            </w:r>
          </w:p>
        </w:tc>
        <w:tc>
          <w:tcPr>
            <w:tcW w:w="890"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136</w:t>
            </w:r>
          </w:p>
        </w:tc>
        <w:tc>
          <w:tcPr>
            <w:tcW w:w="1056"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5880</w:t>
            </w:r>
          </w:p>
        </w:tc>
        <w:tc>
          <w:tcPr>
            <w:tcW w:w="1162"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20400</w:t>
            </w:r>
          </w:p>
        </w:tc>
        <w:tc>
          <w:tcPr>
            <w:tcW w:w="1350"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839</w:t>
            </w:r>
          </w:p>
        </w:tc>
        <w:tc>
          <w:tcPr>
            <w:tcW w:w="1763" w:type="dxa"/>
            <w:vAlign w:val="center"/>
          </w:tcPr>
          <w:p>
            <w:pPr>
              <w:spacing w:line="320" w:lineRule="exact"/>
              <w:jc w:val="center"/>
              <w:rPr>
                <w:rFonts w:hint="default" w:ascii="仿宋_GB2312" w:hAnsi="仿宋_GB2312" w:eastAsia="仿宋_GB2312" w:cs="仿宋_GB2312"/>
                <w:color w:val="auto"/>
                <w:sz w:val="24"/>
                <w:szCs w:val="24"/>
                <w:highlight w:val="none"/>
                <w:lang w:val="en-US"/>
              </w:rPr>
            </w:pPr>
            <w:r>
              <w:rPr>
                <w:rFonts w:hint="eastAsia" w:ascii="仿宋_GB2312" w:hAnsi="仿宋_GB2312" w:eastAsia="仿宋_GB2312" w:cs="仿宋_GB2312"/>
                <w:color w:val="auto"/>
                <w:sz w:val="24"/>
                <w:szCs w:val="24"/>
                <w:highlight w:val="none"/>
                <w:lang w:val="en-US" w:eastAsia="zh-CN"/>
              </w:rPr>
              <w:t>1760</w:t>
            </w:r>
          </w:p>
        </w:tc>
        <w:tc>
          <w:tcPr>
            <w:tcW w:w="1314" w:type="dxa"/>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1500</w:t>
            </w:r>
          </w:p>
        </w:tc>
        <w:tc>
          <w:tcPr>
            <w:tcW w:w="1315" w:type="dxa"/>
            <w:vMerge w:val="restart"/>
            <w:vAlign w:val="center"/>
          </w:tcPr>
          <w:p>
            <w:pPr>
              <w:spacing w:line="32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09" w:type="dxa"/>
            <w:vMerge w:val="continue"/>
            <w:vAlign w:val="center"/>
          </w:tcPr>
          <w:p>
            <w:pPr>
              <w:spacing w:line="320" w:lineRule="exact"/>
              <w:jc w:val="center"/>
              <w:rPr>
                <w:rFonts w:hint="eastAsia" w:ascii="仿宋_GB2312" w:hAnsi="仿宋_GB2312" w:eastAsia="仿宋_GB2312" w:cs="仿宋_GB2312"/>
                <w:color w:val="auto"/>
                <w:sz w:val="24"/>
                <w:szCs w:val="24"/>
              </w:rPr>
            </w:pPr>
          </w:p>
        </w:tc>
        <w:tc>
          <w:tcPr>
            <w:tcW w:w="4458" w:type="dxa"/>
            <w:gridSpan w:val="4"/>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27255</w:t>
            </w:r>
          </w:p>
        </w:tc>
        <w:tc>
          <w:tcPr>
            <w:tcW w:w="3077" w:type="dxa"/>
            <w:gridSpan w:val="2"/>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3260</w:t>
            </w:r>
          </w:p>
        </w:tc>
        <w:tc>
          <w:tcPr>
            <w:tcW w:w="1315" w:type="dxa"/>
            <w:vMerge w:val="continue"/>
            <w:vAlign w:val="center"/>
          </w:tcPr>
          <w:p>
            <w:pPr>
              <w:spacing w:line="32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509" w:type="dxa"/>
            <w:vAlign w:val="center"/>
          </w:tcPr>
          <w:p>
            <w:pPr>
              <w:spacing w:line="32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合计</w:t>
            </w:r>
          </w:p>
        </w:tc>
        <w:tc>
          <w:tcPr>
            <w:tcW w:w="8850" w:type="dxa"/>
            <w:gridSpan w:val="7"/>
            <w:vAlign w:val="center"/>
          </w:tcPr>
          <w:p>
            <w:pPr>
              <w:spacing w:line="320" w:lineRule="exact"/>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30515</w:t>
            </w:r>
          </w:p>
        </w:tc>
      </w:tr>
    </w:tbl>
    <w:p>
      <w:pPr>
        <w:rPr>
          <w:rFonts w:hint="eastAsia" w:ascii="黑体" w:hAnsi="黑体" w:eastAsia="黑体" w:cs="黑体"/>
          <w:color w:val="auto"/>
          <w:sz w:val="32"/>
          <w:szCs w:val="32"/>
          <w:lang w:eastAsia="zh-CN"/>
        </w:rPr>
      </w:pP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柳州市各县区85个涉农乡镇名册</w:t>
      </w:r>
    </w:p>
    <w:tbl>
      <w:tblPr>
        <w:tblStyle w:val="5"/>
        <w:tblW w:w="967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vAlign w:val="center"/>
          </w:tcPr>
          <w:p>
            <w:pPr>
              <w:jc w:val="center"/>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eastAsia="zh-CN"/>
              </w:rPr>
              <w:t>县区</w:t>
            </w:r>
          </w:p>
        </w:tc>
        <w:tc>
          <w:tcPr>
            <w:tcW w:w="8119" w:type="dxa"/>
            <w:vAlign w:val="center"/>
          </w:tcPr>
          <w:p>
            <w:pPr>
              <w:jc w:val="center"/>
              <w:rPr>
                <w:rFonts w:hint="eastAsia" w:ascii="仿宋_GB2312" w:hAnsi="仿宋_GB2312" w:eastAsia="仿宋_GB2312" w:cs="仿宋_GB2312"/>
                <w:b/>
                <w:bCs/>
                <w:color w:val="auto"/>
                <w:sz w:val="32"/>
                <w:szCs w:val="32"/>
                <w:vertAlign w:val="baseline"/>
                <w:lang w:eastAsia="zh-CN"/>
              </w:rPr>
            </w:pPr>
            <w:r>
              <w:rPr>
                <w:rFonts w:hint="eastAsia" w:ascii="仿宋_GB2312" w:hAnsi="仿宋_GB2312" w:eastAsia="仿宋_GB2312" w:cs="仿宋_GB2312"/>
                <w:b/>
                <w:bCs/>
                <w:color w:val="auto"/>
                <w:sz w:val="32"/>
                <w:szCs w:val="32"/>
                <w:vertAlign w:val="baseline"/>
                <w:lang w:eastAsia="zh-CN"/>
              </w:rPr>
              <w:t>涉农乡镇名册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556" w:type="dxa"/>
            <w:vAlign w:val="center"/>
          </w:tcPr>
          <w:p>
            <w:pPr>
              <w:jc w:val="center"/>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vertAlign w:val="baseline"/>
              </w:rPr>
              <w:t>柳江区</w:t>
            </w:r>
          </w:p>
          <w:p>
            <w:pPr>
              <w:jc w:val="center"/>
              <w:rPr>
                <w:rFonts w:hint="eastAsia" w:ascii="仿宋_GB2312" w:hAnsi="仿宋_GB2312" w:eastAsia="仿宋_GB2312" w:cs="仿宋_GB2312"/>
                <w:color w:val="auto"/>
                <w:sz w:val="32"/>
                <w:szCs w:val="32"/>
                <w:vertAlign w:val="baseline"/>
                <w:lang w:eastAsia="zh-CN"/>
              </w:rPr>
            </w:pPr>
          </w:p>
        </w:tc>
        <w:tc>
          <w:tcPr>
            <w:tcW w:w="8119" w:type="dxa"/>
            <w:vAlign w:val="center"/>
          </w:tcPr>
          <w:p>
            <w:pPr>
              <w:jc w:val="both"/>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rPr>
              <w:t>拉堡镇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三都镇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百朋镇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进德镇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穿山镇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成团镇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里高镇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土博镇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柳城县</w:t>
            </w:r>
          </w:p>
        </w:tc>
        <w:tc>
          <w:tcPr>
            <w:tcW w:w="8119" w:type="dxa"/>
            <w:vAlign w:val="center"/>
          </w:tcPr>
          <w:p>
            <w:pPr>
              <w:jc w:val="both"/>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rPr>
              <w:t>大埔镇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凤山镇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六塘镇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东泉镇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沙埔镇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太平镇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龙头镇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冲脉镇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寨隆镇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马山乡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社冲乡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古砦仫佬族乡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鹿寨县</w:t>
            </w:r>
          </w:p>
          <w:p>
            <w:pPr>
              <w:jc w:val="center"/>
              <w:rPr>
                <w:rFonts w:hint="eastAsia" w:ascii="仿宋_GB2312" w:hAnsi="仿宋_GB2312" w:eastAsia="仿宋_GB2312" w:cs="仿宋_GB2312"/>
                <w:color w:val="auto"/>
                <w:sz w:val="32"/>
                <w:szCs w:val="32"/>
                <w:vertAlign w:val="baseline"/>
                <w:lang w:eastAsia="zh-CN"/>
              </w:rPr>
            </w:pPr>
          </w:p>
        </w:tc>
        <w:tc>
          <w:tcPr>
            <w:tcW w:w="8119" w:type="dxa"/>
            <w:vAlign w:val="center"/>
          </w:tcPr>
          <w:p>
            <w:pPr>
              <w:jc w:val="both"/>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rPr>
              <w:t>鹿寨镇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寨沙镇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平山镇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黄冕乡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拉沟乡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四排乡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江口乡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导江乡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融安县</w:t>
            </w:r>
          </w:p>
        </w:tc>
        <w:tc>
          <w:tcPr>
            <w:tcW w:w="8119" w:type="dxa"/>
            <w:vAlign w:val="center"/>
          </w:tcPr>
          <w:p>
            <w:pPr>
              <w:jc w:val="both"/>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rPr>
              <w:t>长安镇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浮石镇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泗顶镇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大良镇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板榄镇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大将镇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雅瑶乡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大坡乡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东起乡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沙子乡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桥板乡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潭头乡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融水县</w:t>
            </w:r>
          </w:p>
        </w:tc>
        <w:tc>
          <w:tcPr>
            <w:tcW w:w="8119" w:type="dxa"/>
            <w:vAlign w:val="center"/>
          </w:tcPr>
          <w:p>
            <w:pPr>
              <w:jc w:val="both"/>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rPr>
              <w:t>融水镇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和睦镇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三防镇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怀宝镇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永乐乡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四荣乡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香粉乡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安太乡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洞头乡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杆洞乡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汪洞乡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安陲乡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大浪乡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白云乡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红水乡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拱洞乡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大年乡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良寨乡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滚贝侗族乡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同练瑶族乡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三江县</w:t>
            </w:r>
          </w:p>
        </w:tc>
        <w:tc>
          <w:tcPr>
            <w:tcW w:w="8119" w:type="dxa"/>
            <w:vAlign w:val="center"/>
          </w:tcPr>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古宜镇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丹州镇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斗江镇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程村乡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和平乡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老堡乡</w:t>
            </w:r>
          </w:p>
          <w:p>
            <w:pPr>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洋溪乡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良口乡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独峒乡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梅林乡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八江乡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林溪乡</w:t>
            </w:r>
          </w:p>
          <w:p>
            <w:pPr>
              <w:jc w:val="both"/>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rPr>
              <w:t>同乐苗族乡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高基瑶族乡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富禄苗族乡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柳北区</w:t>
            </w:r>
          </w:p>
          <w:p>
            <w:pPr>
              <w:jc w:val="center"/>
              <w:rPr>
                <w:rFonts w:hint="eastAsia" w:ascii="仿宋_GB2312" w:hAnsi="仿宋_GB2312" w:eastAsia="仿宋_GB2312" w:cs="仿宋_GB2312"/>
                <w:color w:val="auto"/>
                <w:sz w:val="32"/>
                <w:szCs w:val="32"/>
                <w:vertAlign w:val="baseline"/>
                <w:lang w:eastAsia="zh-CN"/>
              </w:rPr>
            </w:pPr>
          </w:p>
        </w:tc>
        <w:tc>
          <w:tcPr>
            <w:tcW w:w="8119" w:type="dxa"/>
            <w:vAlign w:val="center"/>
          </w:tcPr>
          <w:p>
            <w:pPr>
              <w:rPr>
                <w:rFonts w:hint="eastAsia" w:ascii="仿宋_GB2312" w:hAnsi="仿宋_GB2312" w:eastAsia="仿宋_GB2312" w:cs="仿宋_GB2312"/>
                <w:color w:val="auto"/>
                <w:sz w:val="32"/>
                <w:szCs w:val="32"/>
                <w:vertAlign w:val="baseline"/>
              </w:rPr>
            </w:pPr>
            <w:r>
              <w:rPr>
                <w:rFonts w:hint="eastAsia" w:ascii="仿宋_GB2312" w:hAnsi="仿宋_GB2312" w:eastAsia="仿宋_GB2312" w:cs="仿宋_GB2312"/>
                <w:color w:val="auto"/>
                <w:sz w:val="32"/>
                <w:szCs w:val="32"/>
                <w:lang w:eastAsia="zh-CN"/>
              </w:rPr>
              <w:t>长塘镇、沙塘镇、石碑坪镇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柳南区</w:t>
            </w:r>
          </w:p>
        </w:tc>
        <w:tc>
          <w:tcPr>
            <w:tcW w:w="8119" w:type="dxa"/>
            <w:vAlign w:val="center"/>
          </w:tcPr>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太阳村镇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洛满镇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流山镇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鱼峰区</w:t>
            </w:r>
          </w:p>
        </w:tc>
        <w:tc>
          <w:tcPr>
            <w:tcW w:w="8119" w:type="dxa"/>
            <w:vAlign w:val="center"/>
          </w:tcPr>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里雍镇</w:t>
            </w:r>
            <w:r>
              <w:rPr>
                <w:rFonts w:hint="eastAsia" w:ascii="仿宋_GB2312" w:hAnsi="仿宋_GB2312" w:eastAsia="仿宋_GB2312" w:cs="仿宋_GB2312"/>
                <w:color w:val="auto"/>
                <w:sz w:val="32"/>
                <w:szCs w:val="32"/>
                <w:lang w:eastAsia="zh-CN"/>
              </w:rPr>
              <w:t>、白沙乡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56" w:type="dxa"/>
            <w:vAlign w:val="center"/>
          </w:tcPr>
          <w:p>
            <w:pPr>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柳东新区</w:t>
            </w:r>
          </w:p>
        </w:tc>
        <w:tc>
          <w:tcPr>
            <w:tcW w:w="8119" w:type="dxa"/>
            <w:vAlign w:val="center"/>
          </w:tcPr>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雒容镇</w:t>
            </w:r>
          </w:p>
        </w:tc>
      </w:tr>
    </w:tbl>
    <w:p>
      <w:pPr>
        <w:rPr>
          <w:rFonts w:hint="eastAsia" w:eastAsiaTheme="minorEastAsia"/>
          <w:color w:val="auto"/>
          <w:lang w:eastAsia="zh-CN"/>
        </w:rPr>
      </w:pPr>
      <w:r>
        <w:rPr>
          <w:color w:val="auto"/>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color w:val="auto"/>
          <w:lang w:eastAsia="zh-CN"/>
        </w:rPr>
        <w:instrText xml:space="preserve">ADDIN CNKISM.UserStyle</w:instrText>
      </w:r>
      <w:r>
        <w:rPr>
          <w:color w:val="auto"/>
        </w:rPr>
        <w:fldChar w:fldCharType="separate"/>
      </w:r>
      <w:r>
        <w:rPr>
          <w:color w:val="auto"/>
        </w:rPr>
        <w:fldChar w:fldCharType="end"/>
      </w:r>
    </w:p>
    <w:bookmarkEnd w:id="0"/>
    <w:sectPr>
      <w:pgSz w:w="11906" w:h="16838"/>
      <w:pgMar w:top="1440" w:right="1361"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left="0" w:leftChars="0" w:right="199" w:rightChars="95"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pStyle w:val="2"/>
                            <w:ind w:left="0" w:leftChars="0" w:right="199" w:rightChars="95"/>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ind w:left="0" w:leftChars="0" w:right="199" w:rightChars="95"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pStyle w:val="2"/>
                      <w:ind w:left="0" w:leftChars="0" w:right="199" w:rightChars="95"/>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right="199" w:rightChars="95"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59264;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MIkSXjECAABh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rIQKNUAAAAHAQAADwAAAAAAAAABACAAAAAiAAAAZHJzL2Rvd25yZXYueG1sUEsB&#10;AhQAFAAAAAgAh07iQDCJEl4xAgAAYQQAAA4AAAAAAAAAAQAgAAAAJAEAAGRycy9lMm9Eb2MueG1s&#10;UEsFBgAAAAAGAAYAWQEAAMcFAAAAAA==&#10;">
              <v:fill on="f" focussize="0,0"/>
              <v:stroke on="f" weight="0.5pt"/>
              <v:imagedata o:title=""/>
              <o:lock v:ext="edit" aspectratio="f"/>
              <v:textbox inset="0mm,0mm,0mm,0mm" style="mso-fit-shape-to-text:t;">
                <w:txbxContent>
                  <w:p>
                    <w:pPr>
                      <w:pStyle w:val="2"/>
                      <w:ind w:right="199" w:rightChars="95"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pStyle w:val="2"/>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06FB3"/>
    <w:multiLevelType w:val="singleLevel"/>
    <w:tmpl w:val="92406FB3"/>
    <w:lvl w:ilvl="0" w:tentative="0">
      <w:start w:val="4"/>
      <w:numFmt w:val="chineseCounting"/>
      <w:suff w:val="nothing"/>
      <w:lvlText w:val="（%1）"/>
      <w:lvlJc w:val="left"/>
      <w:rPr>
        <w:rFonts w:hint="eastAsia"/>
      </w:rPr>
    </w:lvl>
  </w:abstractNum>
  <w:abstractNum w:abstractNumId="1">
    <w:nsid w:val="EFB9E33D"/>
    <w:multiLevelType w:val="singleLevel"/>
    <w:tmpl w:val="EFB9E33D"/>
    <w:lvl w:ilvl="0" w:tentative="0">
      <w:start w:val="4"/>
      <w:numFmt w:val="chineseCounting"/>
      <w:suff w:val="nothing"/>
      <w:lvlText w:val="%1、"/>
      <w:lvlJc w:val="left"/>
      <w:rPr>
        <w:rFonts w:hint="eastAsia"/>
      </w:rPr>
    </w:lvl>
  </w:abstractNum>
  <w:abstractNum w:abstractNumId="2">
    <w:nsid w:val="3688905E"/>
    <w:multiLevelType w:val="singleLevel"/>
    <w:tmpl w:val="3688905E"/>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34CC"/>
    <w:rsid w:val="00363C80"/>
    <w:rsid w:val="013F5A46"/>
    <w:rsid w:val="01A5116F"/>
    <w:rsid w:val="02265737"/>
    <w:rsid w:val="02457A23"/>
    <w:rsid w:val="02FB1148"/>
    <w:rsid w:val="039F7C2F"/>
    <w:rsid w:val="03CF6F37"/>
    <w:rsid w:val="04534AC5"/>
    <w:rsid w:val="048F477D"/>
    <w:rsid w:val="04A36451"/>
    <w:rsid w:val="05583CE7"/>
    <w:rsid w:val="05944485"/>
    <w:rsid w:val="05EF0D77"/>
    <w:rsid w:val="06313A40"/>
    <w:rsid w:val="066427C4"/>
    <w:rsid w:val="072073BF"/>
    <w:rsid w:val="075C773F"/>
    <w:rsid w:val="07BC7966"/>
    <w:rsid w:val="09D43488"/>
    <w:rsid w:val="0B073C49"/>
    <w:rsid w:val="0C83773D"/>
    <w:rsid w:val="0DB43A69"/>
    <w:rsid w:val="0DFA562B"/>
    <w:rsid w:val="0E3B347A"/>
    <w:rsid w:val="0E4E56A1"/>
    <w:rsid w:val="0F1D1006"/>
    <w:rsid w:val="0F4A3F9C"/>
    <w:rsid w:val="0F910930"/>
    <w:rsid w:val="10391781"/>
    <w:rsid w:val="108C1CA9"/>
    <w:rsid w:val="11715310"/>
    <w:rsid w:val="139A1448"/>
    <w:rsid w:val="14153E12"/>
    <w:rsid w:val="14704699"/>
    <w:rsid w:val="148E4F37"/>
    <w:rsid w:val="14C86FF5"/>
    <w:rsid w:val="14DC1091"/>
    <w:rsid w:val="151C1203"/>
    <w:rsid w:val="15297A27"/>
    <w:rsid w:val="157212F6"/>
    <w:rsid w:val="15A26690"/>
    <w:rsid w:val="15FE0FF8"/>
    <w:rsid w:val="174C3A8E"/>
    <w:rsid w:val="187075C8"/>
    <w:rsid w:val="18DA0BCA"/>
    <w:rsid w:val="19B01086"/>
    <w:rsid w:val="19CE4C50"/>
    <w:rsid w:val="19CF6378"/>
    <w:rsid w:val="1A3D4A44"/>
    <w:rsid w:val="1A861889"/>
    <w:rsid w:val="1A8B2BAB"/>
    <w:rsid w:val="1B8E5D03"/>
    <w:rsid w:val="1B8F03EE"/>
    <w:rsid w:val="1BAD3E0B"/>
    <w:rsid w:val="1D0F2C87"/>
    <w:rsid w:val="1DAA4E83"/>
    <w:rsid w:val="1DC31DDA"/>
    <w:rsid w:val="1EB94524"/>
    <w:rsid w:val="1F2F3626"/>
    <w:rsid w:val="20462A54"/>
    <w:rsid w:val="21EE08F7"/>
    <w:rsid w:val="229307B9"/>
    <w:rsid w:val="230D0235"/>
    <w:rsid w:val="232534FE"/>
    <w:rsid w:val="23A5412A"/>
    <w:rsid w:val="24CF76E5"/>
    <w:rsid w:val="25527B23"/>
    <w:rsid w:val="25652302"/>
    <w:rsid w:val="25F359F4"/>
    <w:rsid w:val="260F09C4"/>
    <w:rsid w:val="265E0499"/>
    <w:rsid w:val="27004E0E"/>
    <w:rsid w:val="275D79D5"/>
    <w:rsid w:val="2774753C"/>
    <w:rsid w:val="27F9286F"/>
    <w:rsid w:val="28695304"/>
    <w:rsid w:val="28FE7522"/>
    <w:rsid w:val="2A0613F2"/>
    <w:rsid w:val="2A7A6C80"/>
    <w:rsid w:val="2B9F139E"/>
    <w:rsid w:val="2BA15758"/>
    <w:rsid w:val="2BD805A7"/>
    <w:rsid w:val="2C6E460A"/>
    <w:rsid w:val="2CE17034"/>
    <w:rsid w:val="2E01620E"/>
    <w:rsid w:val="2EB7701A"/>
    <w:rsid w:val="2FB1115A"/>
    <w:rsid w:val="305E01E4"/>
    <w:rsid w:val="31737263"/>
    <w:rsid w:val="329D3B53"/>
    <w:rsid w:val="32B22124"/>
    <w:rsid w:val="33C20AA0"/>
    <w:rsid w:val="34232993"/>
    <w:rsid w:val="34716621"/>
    <w:rsid w:val="353A41AC"/>
    <w:rsid w:val="3548698D"/>
    <w:rsid w:val="36673F81"/>
    <w:rsid w:val="36DE0E70"/>
    <w:rsid w:val="37B13015"/>
    <w:rsid w:val="38C8464A"/>
    <w:rsid w:val="39EB4E58"/>
    <w:rsid w:val="3A736E24"/>
    <w:rsid w:val="3B8872AC"/>
    <w:rsid w:val="3BB96EE0"/>
    <w:rsid w:val="3C787372"/>
    <w:rsid w:val="3C810C77"/>
    <w:rsid w:val="3D475D8E"/>
    <w:rsid w:val="3D6709F0"/>
    <w:rsid w:val="3D851953"/>
    <w:rsid w:val="3E4B287A"/>
    <w:rsid w:val="3FC167EB"/>
    <w:rsid w:val="409510F7"/>
    <w:rsid w:val="417872AA"/>
    <w:rsid w:val="43254160"/>
    <w:rsid w:val="43C87F51"/>
    <w:rsid w:val="43F40D90"/>
    <w:rsid w:val="43F53A48"/>
    <w:rsid w:val="44C65025"/>
    <w:rsid w:val="45A3327F"/>
    <w:rsid w:val="462F0170"/>
    <w:rsid w:val="469556B3"/>
    <w:rsid w:val="46F402AD"/>
    <w:rsid w:val="475952DD"/>
    <w:rsid w:val="49667402"/>
    <w:rsid w:val="49DC6B16"/>
    <w:rsid w:val="4A8F190A"/>
    <w:rsid w:val="4AB67675"/>
    <w:rsid w:val="4B6E210E"/>
    <w:rsid w:val="4B76222C"/>
    <w:rsid w:val="4B911024"/>
    <w:rsid w:val="4C557595"/>
    <w:rsid w:val="4D436E77"/>
    <w:rsid w:val="4F1F39A8"/>
    <w:rsid w:val="4F4135FA"/>
    <w:rsid w:val="523E39A2"/>
    <w:rsid w:val="52603A44"/>
    <w:rsid w:val="52770C57"/>
    <w:rsid w:val="54510B32"/>
    <w:rsid w:val="56A26702"/>
    <w:rsid w:val="56AA17CC"/>
    <w:rsid w:val="56F73550"/>
    <w:rsid w:val="57991551"/>
    <w:rsid w:val="57C74A10"/>
    <w:rsid w:val="584D3230"/>
    <w:rsid w:val="58977588"/>
    <w:rsid w:val="5A1A7389"/>
    <w:rsid w:val="5A5552AF"/>
    <w:rsid w:val="5A736D06"/>
    <w:rsid w:val="5A8E586D"/>
    <w:rsid w:val="5AC452F6"/>
    <w:rsid w:val="5B297D09"/>
    <w:rsid w:val="5B8C359B"/>
    <w:rsid w:val="5C921FAB"/>
    <w:rsid w:val="5CCE3B35"/>
    <w:rsid w:val="5F525BC1"/>
    <w:rsid w:val="60F861A1"/>
    <w:rsid w:val="61B13170"/>
    <w:rsid w:val="62B35DB7"/>
    <w:rsid w:val="63C32DB1"/>
    <w:rsid w:val="641F4B6A"/>
    <w:rsid w:val="644A69F0"/>
    <w:rsid w:val="64C20E8C"/>
    <w:rsid w:val="654A6547"/>
    <w:rsid w:val="66860A5A"/>
    <w:rsid w:val="6758260A"/>
    <w:rsid w:val="67F833DD"/>
    <w:rsid w:val="68D300B6"/>
    <w:rsid w:val="69A66A49"/>
    <w:rsid w:val="69F1675A"/>
    <w:rsid w:val="6A5A12DD"/>
    <w:rsid w:val="6B5A7CC9"/>
    <w:rsid w:val="6B7C12C0"/>
    <w:rsid w:val="6B8D7A98"/>
    <w:rsid w:val="6D015EC8"/>
    <w:rsid w:val="6DB5444D"/>
    <w:rsid w:val="6DBA3216"/>
    <w:rsid w:val="6DDF3909"/>
    <w:rsid w:val="6E1D2116"/>
    <w:rsid w:val="6EAB3BAB"/>
    <w:rsid w:val="707E637A"/>
    <w:rsid w:val="70C11EEA"/>
    <w:rsid w:val="710007F3"/>
    <w:rsid w:val="72FC4DD9"/>
    <w:rsid w:val="73514F2A"/>
    <w:rsid w:val="73AD3AD1"/>
    <w:rsid w:val="74884AD1"/>
    <w:rsid w:val="75A75ED3"/>
    <w:rsid w:val="75DD0966"/>
    <w:rsid w:val="76121903"/>
    <w:rsid w:val="76541486"/>
    <w:rsid w:val="779B497C"/>
    <w:rsid w:val="77DA1796"/>
    <w:rsid w:val="79856EF3"/>
    <w:rsid w:val="7A496119"/>
    <w:rsid w:val="7BC97347"/>
    <w:rsid w:val="7C312419"/>
    <w:rsid w:val="7C3E30E9"/>
    <w:rsid w:val="7CA2206A"/>
    <w:rsid w:val="7CAF48CE"/>
    <w:rsid w:val="7CE856A9"/>
    <w:rsid w:val="7D226CFF"/>
    <w:rsid w:val="7D7E3F8A"/>
    <w:rsid w:val="7DCC40D0"/>
    <w:rsid w:val="7F094FBB"/>
    <w:rsid w:val="7F2B7D47"/>
    <w:rsid w:val="7F606CE6"/>
    <w:rsid w:val="7F63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2021-03-12T02:25:00Z</cp:lastPrinted>
  <dcterms:modified xsi:type="dcterms:W3CDTF">2021-03-15T02:48:56Z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