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方正小标宋_GBK" w:eastAsia="方正小标宋_GBK"/>
          <w:sz w:val="44"/>
          <w:szCs w:val="44"/>
          <w:lang w:eastAsia="zh-CN"/>
        </w:rPr>
        <w:t>柳州市农业农村局</w:t>
      </w:r>
      <w:r>
        <w:rPr>
          <w:rFonts w:hint="eastAsia" w:ascii="方正小标宋_GBK" w:eastAsia="方正小标宋_GBK"/>
          <w:sz w:val="44"/>
          <w:szCs w:val="44"/>
        </w:rPr>
        <w:t>权责清单</w:t>
      </w:r>
      <w:r>
        <w:rPr>
          <w:rFonts w:hint="eastAsia" w:ascii="方正小标宋_GBK" w:eastAsia="方正小标宋_GBK"/>
          <w:sz w:val="44"/>
          <w:szCs w:val="44"/>
          <w:lang w:eastAsia="zh-CN"/>
        </w:rPr>
        <w:t>——</w:t>
      </w:r>
      <w:r>
        <w:rPr>
          <w:rFonts w:hint="eastAsia" w:ascii="方正小标宋_GBK" w:eastAsia="方正小标宋_GBK"/>
          <w:sz w:val="44"/>
          <w:szCs w:val="44"/>
          <w:lang w:val="en-US" w:eastAsia="zh-CN"/>
        </w:rPr>
        <w:t>行政征收</w:t>
      </w:r>
      <w:r>
        <w:rPr>
          <w:rFonts w:hint="eastAsia" w:ascii="方正小标宋_GBK" w:eastAsia="方正小标宋_GBK"/>
          <w:sz w:val="44"/>
          <w:szCs w:val="44"/>
          <w:lang w:eastAsia="zh-CN"/>
        </w:rPr>
        <w:t>（</w:t>
      </w:r>
      <w:r>
        <w:rPr>
          <w:rFonts w:hint="eastAsia" w:ascii="方正小标宋_GBK" w:eastAsia="方正小标宋_GBK"/>
          <w:sz w:val="44"/>
          <w:szCs w:val="44"/>
          <w:lang w:val="en-US" w:eastAsia="zh-CN"/>
        </w:rPr>
        <w:t>2022版</w:t>
      </w:r>
      <w:r>
        <w:rPr>
          <w:rFonts w:hint="eastAsia" w:ascii="方正小标宋_GBK" w:eastAsia="方正小标宋_GBK"/>
          <w:sz w:val="44"/>
          <w:szCs w:val="44"/>
          <w:lang w:eastAsia="zh-CN"/>
        </w:rPr>
        <w:t>）</w:t>
      </w:r>
    </w:p>
    <w:tbl>
      <w:tblPr>
        <w:tblStyle w:val="4"/>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4370"/>
        <w:gridCol w:w="2638"/>
        <w:gridCol w:w="4437"/>
        <w:gridCol w:w="1256"/>
        <w:gridCol w:w="5005"/>
        <w:gridCol w:w="561"/>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numId w:val="0"/>
              </w:numPr>
              <w:adjustRightInd w:val="0"/>
              <w:snapToGrid w:val="0"/>
              <w:spacing w:line="300" w:lineRule="exact"/>
              <w:ind w:leftChars="0"/>
              <w:jc w:val="center"/>
              <w:rPr>
                <w:rFonts w:hint="eastAsia" w:ascii="宋体" w:hAnsi="宋体" w:eastAsia="宋体" w:cs="宋体"/>
                <w:color w:val="000000"/>
                <w:kern w:val="0"/>
                <w:sz w:val="20"/>
                <w:szCs w:val="20"/>
              </w:rPr>
            </w:pPr>
            <w:bookmarkStart w:id="0" w:name="_GoBack"/>
            <w:r>
              <w:rPr>
                <w:rFonts w:hint="eastAsia" w:ascii="方正黑体_GBK" w:hAnsi="方正黑体_GBK" w:eastAsia="方正黑体_GBK" w:cs="方正黑体_GBK"/>
                <w:color w:val="000000"/>
                <w:kern w:val="0"/>
                <w:sz w:val="20"/>
                <w:szCs w:val="20"/>
              </w:rPr>
              <w:t>序号</w:t>
            </w:r>
          </w:p>
        </w:tc>
        <w:tc>
          <w:tcPr>
            <w:tcW w:w="500" w:type="dxa"/>
            <w:vMerge w:val="restart"/>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权力分类</w:t>
            </w:r>
          </w:p>
        </w:tc>
        <w:tc>
          <w:tcPr>
            <w:tcW w:w="7568" w:type="dxa"/>
            <w:gridSpan w:val="5"/>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权力清单</w:t>
            </w:r>
          </w:p>
        </w:tc>
        <w:tc>
          <w:tcPr>
            <w:tcW w:w="13897" w:type="dxa"/>
            <w:gridSpan w:val="5"/>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000000"/>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实施</w:t>
            </w:r>
          </w:p>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承办的</w:t>
            </w:r>
          </w:p>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内设机构</w:t>
            </w:r>
          </w:p>
        </w:tc>
        <w:tc>
          <w:tcPr>
            <w:tcW w:w="4370"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实施依据</w:t>
            </w:r>
          </w:p>
        </w:tc>
        <w:tc>
          <w:tcPr>
            <w:tcW w:w="2638"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责任事项</w:t>
            </w:r>
          </w:p>
        </w:tc>
        <w:tc>
          <w:tcPr>
            <w:tcW w:w="4437"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责任事项依据</w:t>
            </w:r>
          </w:p>
        </w:tc>
        <w:tc>
          <w:tcPr>
            <w:tcW w:w="1256"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追责情形</w:t>
            </w:r>
          </w:p>
        </w:tc>
        <w:tc>
          <w:tcPr>
            <w:tcW w:w="5005"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追责依据</w:t>
            </w:r>
          </w:p>
        </w:tc>
        <w:tc>
          <w:tcPr>
            <w:tcW w:w="561" w:type="dxa"/>
            <w:vAlign w:val="center"/>
          </w:tcPr>
          <w:p>
            <w:pPr>
              <w:adjustRightInd w:val="0"/>
              <w:snapToGrid w:val="0"/>
              <w:spacing w:line="300" w:lineRule="exact"/>
              <w:jc w:val="center"/>
              <w:rPr>
                <w:rFonts w:hint="eastAsia" w:ascii="方正黑体_GBK" w:hAnsi="黑体" w:eastAsia="方正黑体_GBK" w:cs="宋体"/>
                <w:color w:val="000000"/>
                <w:kern w:val="0"/>
                <w:sz w:val="20"/>
                <w:szCs w:val="20"/>
              </w:rPr>
            </w:pPr>
            <w:r>
              <w:rPr>
                <w:rFonts w:hint="eastAsia" w:ascii="方正黑体_GBK" w:hAnsi="黑体" w:eastAsia="方正黑体_GBK" w:cs="宋体"/>
                <w:color w:val="000000"/>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0762"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000000"/>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kern w:val="0"/>
                <w:sz w:val="20"/>
                <w:szCs w:val="20"/>
                <w:lang w:bidi="ar"/>
              </w:rPr>
            </w:pPr>
            <w:r>
              <w:rPr>
                <w:rFonts w:hint="eastAsia" w:ascii="宋体" w:hAnsi="宋体" w:eastAsia="宋体" w:cs="宋体"/>
                <w:kern w:val="0"/>
                <w:sz w:val="20"/>
                <w:szCs w:val="20"/>
                <w:lang w:bidi="ar"/>
              </w:rPr>
              <w:t>行政征收</w:t>
            </w:r>
          </w:p>
        </w:tc>
        <w:tc>
          <w:tcPr>
            <w:tcW w:w="865" w:type="dxa"/>
            <w:vAlign w:val="center"/>
          </w:tcPr>
          <w:p>
            <w:pPr>
              <w:adjustRightInd w:val="0"/>
              <w:snapToGrid w:val="0"/>
              <w:spacing w:line="300" w:lineRule="exact"/>
              <w:textAlignment w:val="center"/>
              <w:rPr>
                <w:rFonts w:hint="eastAsia" w:ascii="宋体" w:hAnsi="宋体" w:eastAsia="宋体" w:cs="宋体"/>
                <w:color w:val="FF0000"/>
                <w:kern w:val="0"/>
                <w:sz w:val="20"/>
                <w:szCs w:val="20"/>
                <w:lang w:bidi="ar"/>
              </w:rPr>
            </w:pPr>
            <w:r>
              <w:rPr>
                <w:rFonts w:hint="eastAsia" w:ascii="宋体" w:hAnsi="宋体" w:eastAsia="宋体" w:cs="宋体"/>
                <w:kern w:val="0"/>
                <w:sz w:val="20"/>
                <w:szCs w:val="20"/>
                <w:lang w:bidi="ar"/>
              </w:rPr>
              <w:t>渔业资源增殖保护费的征收</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000000"/>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000000"/>
                <w:kern w:val="0"/>
                <w:sz w:val="20"/>
                <w:szCs w:val="20"/>
                <w:lang w:val="en-US" w:eastAsia="zh-CN"/>
              </w:rPr>
            </w:pPr>
            <w:r>
              <w:rPr>
                <w:rFonts w:hint="eastAsia" w:ascii="宋体" w:hAnsi="宋体" w:eastAsia="宋体" w:cs="宋体"/>
                <w:color w:val="000000"/>
                <w:kern w:val="0"/>
                <w:sz w:val="20"/>
                <w:szCs w:val="20"/>
                <w:lang w:eastAsia="zh-CN"/>
              </w:rPr>
              <w:t>渔业渔政科</w:t>
            </w:r>
          </w:p>
        </w:tc>
        <w:tc>
          <w:tcPr>
            <w:tcW w:w="437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1.【法律】《中华人民共和国渔业法》</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八条：县级以上人民政府渔业行政主管部门应当对其管理的渔业水域统一规划，采取措施，增殖渔业资源。县级以上人民政府渔业行政主管部门可以向受益的单位和个人征收渔业资源增殖保护费，专门用于增殖和保护渔业资源。渔业资源增殖保护费的征收办法由国务院渔业行政主管部门会同财政部门制定，报国务院批</w:t>
            </w:r>
            <w:r>
              <w:rPr>
                <w:rStyle w:val="7"/>
                <w:rFonts w:hint="eastAsia" w:ascii="宋体" w:hAnsi="宋体" w:eastAsia="宋体" w:cs="宋体"/>
                <w:color w:val="auto"/>
                <w:lang w:bidi="ar"/>
              </w:rPr>
              <w:t>准后施行。</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2.【行政法规】</w:t>
            </w:r>
            <w:r>
              <w:rPr>
                <w:rStyle w:val="6"/>
                <w:rFonts w:hint="eastAsia" w:ascii="宋体" w:hAnsi="宋体" w:eastAsia="宋体" w:cs="宋体"/>
                <w:color w:val="auto"/>
                <w:lang w:eastAsia="zh-CN" w:bidi="ar"/>
              </w:rPr>
              <w:t>《渔业资源增殖保护费征收使用办法》（1988年农业部、财政部、国家物价局令第1号发布，2011年国务院令第588号修订）</w:t>
            </w:r>
            <w:r>
              <w:rPr>
                <w:rStyle w:val="6"/>
                <w:rFonts w:hint="eastAsia" w:ascii="宋体" w:hAnsi="宋体" w:eastAsia="宋体" w:cs="宋体"/>
                <w:color w:val="auto"/>
                <w:lang w:bidi="ar"/>
              </w:rPr>
              <w:t>第二条：凡在中华人民共和国的内水、滩涂、领海以及中华人民共和国管辖的其他海域采捕天然生长和人工增殖水生动植物的单位和个人，必须依照本办法缴纳渔业资源增</w:t>
            </w:r>
            <w:r>
              <w:rPr>
                <w:rStyle w:val="7"/>
                <w:rFonts w:hint="eastAsia" w:ascii="宋体" w:hAnsi="宋体" w:eastAsia="宋体" w:cs="宋体"/>
                <w:color w:val="auto"/>
                <w:lang w:bidi="ar"/>
              </w:rPr>
              <w:t>殖保护费。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第四条：渔业资源费由县级以上人民政府渔业行政主管部门及其授权单位依照批准发放捕捞许可证的权限征收。由国务院渔业行政主管部门批准发放捕捞许可证的，渔业资源费由国务院渔业行政主管部门所属的海区渔政监督管理机</w:t>
            </w:r>
            <w:r>
              <w:rPr>
                <w:rStyle w:val="7"/>
                <w:rFonts w:hint="eastAsia" w:ascii="宋体" w:hAnsi="宋体" w:eastAsia="宋体" w:cs="宋体"/>
                <w:color w:val="auto"/>
                <w:lang w:bidi="ar"/>
              </w:rPr>
              <w:t>构</w:t>
            </w:r>
            <w:r>
              <w:rPr>
                <w:rStyle w:val="6"/>
                <w:rFonts w:hint="eastAsia" w:ascii="宋体" w:hAnsi="宋体" w:eastAsia="宋体" w:cs="宋体"/>
                <w:color w:val="auto"/>
                <w:lang w:bidi="ar"/>
              </w:rPr>
              <w:t>（以下称</w:t>
            </w:r>
            <w:r>
              <w:rPr>
                <w:rStyle w:val="6"/>
                <w:rFonts w:hint="eastAsia" w:ascii="宋体" w:hAnsi="宋体" w:eastAsia="宋体" w:cs="宋体"/>
                <w:color w:val="auto"/>
                <w:lang w:eastAsia="zh-CN" w:bidi="ar"/>
              </w:rPr>
              <w:t>“</w:t>
            </w:r>
            <w:r>
              <w:rPr>
                <w:rStyle w:val="6"/>
                <w:rFonts w:hint="eastAsia" w:ascii="宋体" w:hAnsi="宋体" w:eastAsia="宋体" w:cs="宋体"/>
                <w:color w:val="auto"/>
                <w:lang w:bidi="ar"/>
              </w:rPr>
              <w:t>海区渔政监</w:t>
            </w:r>
            <w:r>
              <w:rPr>
                <w:rStyle w:val="7"/>
                <w:rFonts w:hint="eastAsia" w:ascii="宋体" w:hAnsi="宋体" w:eastAsia="宋体" w:cs="宋体"/>
                <w:color w:val="auto"/>
                <w:lang w:bidi="ar"/>
              </w:rPr>
              <w:t>督</w:t>
            </w:r>
            <w:r>
              <w:rPr>
                <w:rStyle w:val="6"/>
                <w:rFonts w:hint="eastAsia" w:ascii="宋体" w:hAnsi="宋体" w:eastAsia="宋体" w:cs="宋体"/>
                <w:color w:val="auto"/>
                <w:lang w:bidi="ar"/>
              </w:rPr>
              <w:t>管理机构</w:t>
            </w:r>
            <w:r>
              <w:rPr>
                <w:rStyle w:val="6"/>
                <w:rFonts w:hint="eastAsia" w:ascii="宋体" w:hAnsi="宋体" w:eastAsia="宋体" w:cs="宋体"/>
                <w:color w:val="auto"/>
                <w:lang w:eastAsia="zh-CN" w:bidi="ar"/>
              </w:rPr>
              <w:t>”</w:t>
            </w:r>
            <w:r>
              <w:rPr>
                <w:rStyle w:val="6"/>
                <w:rFonts w:hint="eastAsia" w:ascii="宋体" w:hAnsi="宋体" w:eastAsia="宋体" w:cs="宋体"/>
                <w:color w:val="auto"/>
                <w:lang w:bidi="ar"/>
              </w:rPr>
              <w:t>）征收。</w:t>
            </w:r>
          </w:p>
        </w:tc>
        <w:tc>
          <w:tcPr>
            <w:tcW w:w="2638" w:type="dxa"/>
            <w:vAlign w:val="center"/>
          </w:tcPr>
          <w:p>
            <w:pPr>
              <w:widowControl/>
              <w:adjustRightInd w:val="0"/>
              <w:snapToGrid w:val="0"/>
              <w:spacing w:line="300" w:lineRule="exact"/>
              <w:ind w:firstLine="400" w:firstLineChars="200"/>
              <w:textAlignment w:val="center"/>
              <w:rPr>
                <w:rFonts w:hint="eastAsia" w:ascii="宋体" w:hAnsi="宋体" w:eastAsia="宋体" w:cs="宋体"/>
                <w:snapToGrid w:val="0"/>
                <w:color w:val="000000"/>
                <w:sz w:val="20"/>
                <w:szCs w:val="20"/>
                <w:lang w:bidi="ar"/>
              </w:rPr>
            </w:pPr>
            <w:r>
              <w:rPr>
                <w:rFonts w:hint="eastAsia" w:ascii="宋体" w:hAnsi="宋体" w:eastAsia="宋体" w:cs="宋体"/>
                <w:snapToGrid w:val="0"/>
                <w:color w:val="000000"/>
                <w:sz w:val="20"/>
                <w:szCs w:val="20"/>
                <w:lang w:bidi="ar"/>
              </w:rPr>
              <w:t>1</w:t>
            </w:r>
            <w:r>
              <w:rPr>
                <w:rFonts w:hint="eastAsia" w:ascii="宋体" w:hAnsi="宋体" w:eastAsia="宋体" w:cs="宋体"/>
                <w:snapToGrid w:val="0"/>
                <w:color w:val="000000"/>
                <w:sz w:val="20"/>
                <w:szCs w:val="20"/>
                <w:lang w:eastAsia="zh-CN" w:bidi="ar"/>
              </w:rPr>
              <w:t>公示</w:t>
            </w:r>
            <w:r>
              <w:rPr>
                <w:rFonts w:hint="eastAsia" w:ascii="宋体" w:hAnsi="宋体" w:eastAsia="宋体" w:cs="宋体"/>
                <w:snapToGrid w:val="0"/>
                <w:color w:val="000000"/>
                <w:sz w:val="20"/>
                <w:szCs w:val="20"/>
                <w:lang w:bidi="ar"/>
              </w:rPr>
              <w:t>责任：</w:t>
            </w:r>
            <w:r>
              <w:rPr>
                <w:rStyle w:val="6"/>
                <w:rFonts w:hint="eastAsia" w:ascii="宋体" w:hAnsi="宋体" w:eastAsia="宋体" w:cs="宋体"/>
                <w:color w:val="auto"/>
                <w:highlight w:val="none"/>
                <w:lang w:eastAsia="zh-CN" w:bidi="ar"/>
              </w:rPr>
              <w:t>在收费点醒目的位置和网站进行收费公示，公布收费项目、收费标准、收费依据、收费范围、计费单位、收费对象、投诉电话、减免政策等。</w:t>
            </w:r>
          </w:p>
          <w:p>
            <w:pPr>
              <w:widowControl/>
              <w:adjustRightInd w:val="0"/>
              <w:snapToGrid w:val="0"/>
              <w:spacing w:line="300" w:lineRule="exact"/>
              <w:ind w:firstLine="400" w:firstLineChars="200"/>
              <w:textAlignment w:val="center"/>
              <w:rPr>
                <w:rFonts w:hint="eastAsia" w:ascii="宋体" w:hAnsi="宋体" w:eastAsia="宋体" w:cs="宋体"/>
                <w:snapToGrid w:val="0"/>
                <w:color w:val="000000"/>
                <w:sz w:val="20"/>
                <w:szCs w:val="20"/>
                <w:lang w:eastAsia="zh-CN" w:bidi="ar"/>
              </w:rPr>
            </w:pPr>
            <w:r>
              <w:rPr>
                <w:rFonts w:hint="eastAsia" w:ascii="宋体" w:hAnsi="宋体" w:eastAsia="宋体" w:cs="宋体"/>
                <w:snapToGrid w:val="0"/>
                <w:color w:val="000000"/>
                <w:sz w:val="20"/>
                <w:szCs w:val="20"/>
                <w:lang w:bidi="ar"/>
              </w:rPr>
              <w:t>2.审核阶段责任：审查申报材料，是否符合相关政府及相关部门规定的征收标准</w:t>
            </w:r>
            <w:r>
              <w:rPr>
                <w:rFonts w:hint="eastAsia" w:ascii="宋体" w:hAnsi="宋体" w:eastAsia="宋体" w:cs="宋体"/>
                <w:snapToGrid w:val="0"/>
                <w:color w:val="000000"/>
                <w:sz w:val="20"/>
                <w:szCs w:val="20"/>
                <w:lang w:eastAsia="zh-CN" w:bidi="ar"/>
              </w:rPr>
              <w:t>。</w:t>
            </w:r>
          </w:p>
          <w:p>
            <w:pPr>
              <w:widowControl/>
              <w:adjustRightInd w:val="0"/>
              <w:snapToGrid w:val="0"/>
              <w:spacing w:line="300" w:lineRule="exact"/>
              <w:ind w:firstLine="400" w:firstLineChars="200"/>
              <w:textAlignment w:val="center"/>
              <w:rPr>
                <w:rFonts w:hint="eastAsia" w:ascii="宋体" w:hAnsi="宋体" w:eastAsia="宋体" w:cs="宋体"/>
                <w:snapToGrid w:val="0"/>
                <w:color w:val="000000"/>
                <w:sz w:val="20"/>
                <w:szCs w:val="20"/>
                <w:lang w:eastAsia="zh-CN" w:bidi="ar"/>
              </w:rPr>
            </w:pPr>
            <w:r>
              <w:rPr>
                <w:rFonts w:hint="eastAsia" w:ascii="宋体" w:hAnsi="宋体" w:eastAsia="宋体" w:cs="宋体"/>
                <w:snapToGrid w:val="0"/>
                <w:color w:val="000000"/>
                <w:sz w:val="20"/>
                <w:szCs w:val="20"/>
                <w:lang w:bidi="ar"/>
              </w:rPr>
              <w:t>3.</w:t>
            </w:r>
            <w:r>
              <w:rPr>
                <w:rFonts w:hint="eastAsia" w:ascii="宋体" w:hAnsi="宋体" w:eastAsia="宋体" w:cs="宋体"/>
                <w:snapToGrid w:val="0"/>
                <w:color w:val="000000"/>
                <w:sz w:val="20"/>
                <w:szCs w:val="20"/>
                <w:lang w:eastAsia="zh-CN" w:bidi="ar"/>
              </w:rPr>
              <w:t>征收</w:t>
            </w:r>
            <w:r>
              <w:rPr>
                <w:rFonts w:hint="eastAsia" w:ascii="宋体" w:hAnsi="宋体" w:eastAsia="宋体" w:cs="宋体"/>
                <w:snapToGrid w:val="0"/>
                <w:color w:val="000000"/>
                <w:sz w:val="20"/>
                <w:szCs w:val="20"/>
                <w:lang w:bidi="ar"/>
              </w:rPr>
              <w:t>阶段责任：对需缴费的开票征收，缴入国库</w:t>
            </w:r>
            <w:r>
              <w:rPr>
                <w:rFonts w:hint="eastAsia" w:ascii="宋体" w:hAnsi="宋体" w:eastAsia="宋体" w:cs="宋体"/>
                <w:snapToGrid w:val="0"/>
                <w:color w:val="000000"/>
                <w:sz w:val="20"/>
                <w:szCs w:val="20"/>
                <w:lang w:eastAsia="zh-CN" w:bidi="ar"/>
              </w:rPr>
              <w:t>。</w:t>
            </w:r>
          </w:p>
          <w:p>
            <w:pPr>
              <w:widowControl/>
              <w:adjustRightInd w:val="0"/>
              <w:snapToGrid w:val="0"/>
              <w:spacing w:line="300" w:lineRule="exact"/>
              <w:ind w:firstLine="400" w:firstLineChars="200"/>
              <w:textAlignment w:val="center"/>
              <w:rPr>
                <w:rStyle w:val="6"/>
                <w:rFonts w:hint="eastAsia" w:ascii="宋体" w:hAnsi="宋体" w:eastAsia="宋体" w:cs="宋体"/>
                <w:color w:val="auto"/>
                <w:sz w:val="20"/>
                <w:szCs w:val="20"/>
                <w:lang w:bidi="ar"/>
              </w:rPr>
            </w:pPr>
            <w:r>
              <w:rPr>
                <w:rFonts w:hint="eastAsia" w:ascii="宋体" w:hAnsi="宋体" w:eastAsia="宋体" w:cs="宋体"/>
                <w:snapToGrid w:val="0"/>
                <w:color w:val="000000"/>
                <w:sz w:val="20"/>
                <w:szCs w:val="20"/>
                <w:lang w:bidi="ar"/>
              </w:rPr>
              <w:t>4.其他法律法规规章文件规定应履行的责任.</w:t>
            </w:r>
          </w:p>
        </w:tc>
        <w:tc>
          <w:tcPr>
            <w:tcW w:w="443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highlight w:val="none"/>
                <w:lang w:eastAsia="zh-CN" w:bidi="ar"/>
              </w:rPr>
            </w:pPr>
            <w:r>
              <w:rPr>
                <w:rStyle w:val="6"/>
                <w:rFonts w:hint="eastAsia" w:ascii="宋体" w:hAnsi="宋体" w:eastAsia="宋体" w:cs="宋体"/>
                <w:color w:val="auto"/>
                <w:highlight w:val="none"/>
                <w:lang w:bidi="ar"/>
              </w:rPr>
              <w:t>1.【</w:t>
            </w:r>
            <w:r>
              <w:rPr>
                <w:rStyle w:val="6"/>
                <w:rFonts w:hint="eastAsia" w:ascii="宋体" w:hAnsi="宋体" w:eastAsia="宋体" w:cs="宋体"/>
                <w:color w:val="auto"/>
                <w:highlight w:val="none"/>
                <w:lang w:eastAsia="zh-CN" w:bidi="ar"/>
              </w:rPr>
              <w:t>地方性法规</w:t>
            </w:r>
            <w:r>
              <w:rPr>
                <w:rStyle w:val="6"/>
                <w:rFonts w:hint="eastAsia" w:ascii="宋体" w:hAnsi="宋体" w:eastAsia="宋体" w:cs="宋体"/>
                <w:color w:val="auto"/>
                <w:highlight w:val="none"/>
                <w:lang w:bidi="ar"/>
              </w:rPr>
              <w:t>】</w:t>
            </w:r>
            <w:r>
              <w:rPr>
                <w:rStyle w:val="6"/>
                <w:rFonts w:hint="eastAsia" w:ascii="宋体" w:hAnsi="宋体" w:eastAsia="宋体" w:cs="宋体"/>
                <w:color w:val="auto"/>
                <w:highlight w:val="none"/>
                <w:lang w:eastAsia="zh-CN" w:bidi="ar"/>
              </w:rPr>
              <w:t>《广西壮族自治区行政事业性收费管理条例》（</w:t>
            </w:r>
            <w:r>
              <w:rPr>
                <w:rStyle w:val="6"/>
                <w:rFonts w:hint="eastAsia" w:ascii="宋体" w:hAnsi="宋体" w:eastAsia="宋体" w:cs="宋体"/>
                <w:color w:val="auto"/>
                <w:highlight w:val="none"/>
                <w:lang w:val="en-US" w:eastAsia="zh-CN" w:bidi="ar"/>
              </w:rPr>
              <w:t>1993年广西壮族自治区第八届人民代表大会常务委员会第6次会议通过，2012年第二次修正</w:t>
            </w:r>
            <w:r>
              <w:rPr>
                <w:rStyle w:val="6"/>
                <w:rFonts w:hint="eastAsia" w:ascii="宋体" w:hAnsi="宋体" w:eastAsia="宋体" w:cs="宋体"/>
                <w:color w:val="auto"/>
                <w:highlight w:val="none"/>
                <w:lang w:eastAsia="zh-CN" w:bidi="ar"/>
              </w:rPr>
              <w:t>）第十四条：……收费单位应当在收费点醒目的位置和网站进行收费公示，公布收费项目、收费标准、收费依据、收费范围、计费单位、收费对象、投诉电话、减免政策等。</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highlight w:val="none"/>
                <w:lang w:val="en-US" w:eastAsia="zh-CN" w:bidi="ar"/>
              </w:rPr>
              <w:t>2.【行政法规】</w:t>
            </w:r>
            <w:r>
              <w:rPr>
                <w:rStyle w:val="6"/>
                <w:rFonts w:hint="eastAsia" w:ascii="宋体" w:hAnsi="宋体" w:eastAsia="宋体" w:cs="宋体"/>
                <w:color w:val="auto"/>
                <w:lang w:eastAsia="zh-CN" w:bidi="ar"/>
              </w:rPr>
              <w:t>《渔业资源增殖保护费征收使用办法》（1988年农业部、财政部、国家物价局令第1号发布，2011年国务院令第588号修订）</w:t>
            </w:r>
            <w:r>
              <w:rPr>
                <w:rStyle w:val="6"/>
                <w:rFonts w:hint="eastAsia" w:ascii="宋体" w:hAnsi="宋体" w:eastAsia="宋体" w:cs="宋体"/>
                <w:color w:val="auto"/>
                <w:lang w:bidi="ar"/>
              </w:rPr>
              <w:t>第二条：凡在中华人民共和国的内水、滩涂、领海以及中华人民共和国管辖的其他海域采捕天然生长和人工增殖水生动植物的单位和个人，必须依照本办法缴纳渔业资源增</w:t>
            </w:r>
            <w:r>
              <w:rPr>
                <w:rStyle w:val="7"/>
                <w:rFonts w:hint="eastAsia" w:ascii="宋体" w:hAnsi="宋体" w:eastAsia="宋体" w:cs="宋体"/>
                <w:color w:val="auto"/>
                <w:lang w:bidi="ar"/>
              </w:rPr>
              <w:t>殖保护费。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第四条：渔业资源费由县级以上人民政府渔业行政主管部门及其授权单位依照批准发放捕捞许可证的权限征收。由国务院渔业行政主管部门批准发放捕捞许可证的，渔业资源费由国务院渔业行政主管部门所属的海区渔政监督管理机</w:t>
            </w:r>
            <w:r>
              <w:rPr>
                <w:rStyle w:val="7"/>
                <w:rFonts w:hint="eastAsia" w:ascii="宋体" w:hAnsi="宋体" w:eastAsia="宋体" w:cs="宋体"/>
                <w:color w:val="auto"/>
                <w:lang w:bidi="ar"/>
              </w:rPr>
              <w:t>构</w:t>
            </w:r>
            <w:r>
              <w:rPr>
                <w:rStyle w:val="6"/>
                <w:rFonts w:hint="eastAsia" w:ascii="宋体" w:hAnsi="宋体" w:eastAsia="宋体" w:cs="宋体"/>
                <w:color w:val="auto"/>
                <w:lang w:bidi="ar"/>
              </w:rPr>
              <w:t>（以下称</w:t>
            </w:r>
            <w:r>
              <w:rPr>
                <w:rStyle w:val="6"/>
                <w:rFonts w:hint="eastAsia" w:ascii="宋体" w:hAnsi="宋体" w:eastAsia="宋体" w:cs="宋体"/>
                <w:color w:val="auto"/>
                <w:lang w:eastAsia="zh-CN" w:bidi="ar"/>
              </w:rPr>
              <w:t>“</w:t>
            </w:r>
            <w:r>
              <w:rPr>
                <w:rStyle w:val="6"/>
                <w:rFonts w:hint="eastAsia" w:ascii="宋体" w:hAnsi="宋体" w:eastAsia="宋体" w:cs="宋体"/>
                <w:color w:val="auto"/>
                <w:lang w:bidi="ar"/>
              </w:rPr>
              <w:t>海区渔政监</w:t>
            </w:r>
            <w:r>
              <w:rPr>
                <w:rStyle w:val="7"/>
                <w:rFonts w:hint="eastAsia" w:ascii="宋体" w:hAnsi="宋体" w:eastAsia="宋体" w:cs="宋体"/>
                <w:color w:val="auto"/>
                <w:lang w:bidi="ar"/>
              </w:rPr>
              <w:t>督</w:t>
            </w:r>
            <w:r>
              <w:rPr>
                <w:rStyle w:val="6"/>
                <w:rFonts w:hint="eastAsia" w:ascii="宋体" w:hAnsi="宋体" w:eastAsia="宋体" w:cs="宋体"/>
                <w:color w:val="auto"/>
                <w:lang w:bidi="ar"/>
              </w:rPr>
              <w:t>管理机构</w:t>
            </w:r>
            <w:r>
              <w:rPr>
                <w:rStyle w:val="6"/>
                <w:rFonts w:hint="eastAsia" w:ascii="宋体" w:hAnsi="宋体" w:eastAsia="宋体" w:cs="宋体"/>
                <w:color w:val="auto"/>
                <w:lang w:eastAsia="zh-CN" w:bidi="ar"/>
              </w:rPr>
              <w:t>”</w:t>
            </w:r>
            <w:r>
              <w:rPr>
                <w:rStyle w:val="6"/>
                <w:rFonts w:hint="eastAsia" w:ascii="宋体" w:hAnsi="宋体" w:eastAsia="宋体" w:cs="宋体"/>
                <w:color w:val="auto"/>
                <w:lang w:bidi="ar"/>
              </w:rPr>
              <w:t>）征收。</w:t>
            </w:r>
          </w:p>
          <w:p>
            <w:pPr>
              <w:numPr>
                <w:ilvl w:val="0"/>
                <w:numId w:val="0"/>
              </w:numPr>
              <w:adjustRightInd w:val="0"/>
              <w:snapToGrid w:val="0"/>
              <w:spacing w:line="300" w:lineRule="exact"/>
              <w:ind w:firstLine="400" w:firstLineChars="200"/>
              <w:textAlignment w:val="center"/>
              <w:rPr>
                <w:rStyle w:val="6"/>
                <w:rFonts w:hint="eastAsia" w:ascii="宋体" w:hAnsi="宋体" w:eastAsia="宋体" w:cs="宋体"/>
                <w:color w:val="auto"/>
                <w:lang w:eastAsia="zh-CN" w:bidi="ar"/>
              </w:rPr>
            </w:pPr>
            <w:r>
              <w:rPr>
                <w:rStyle w:val="6"/>
                <w:rFonts w:hint="eastAsia" w:ascii="宋体" w:hAnsi="宋体" w:eastAsia="宋体" w:cs="宋体"/>
                <w:color w:val="auto"/>
                <w:highlight w:val="none"/>
                <w:lang w:val="en-US" w:eastAsia="zh-CN" w:bidi="ar"/>
              </w:rPr>
              <w:t>3.【行政法规】</w:t>
            </w:r>
            <w:r>
              <w:rPr>
                <w:rStyle w:val="6"/>
                <w:rFonts w:hint="eastAsia" w:ascii="宋体" w:hAnsi="宋体" w:eastAsia="宋体" w:cs="宋体"/>
                <w:color w:val="auto"/>
                <w:lang w:eastAsia="zh-CN" w:bidi="ar"/>
              </w:rPr>
              <w:t>《渔业资源增殖保护费征收使用办法》（1988年农业部、财政部、国家物价局令第1号发布，2011年国务院令第588号修订）第九条：县级以上地方人民政府渔业行政主管部门或者海区渔政监督管理机构，在批准发放捕捞许可证的同时征收渔业资源费，并在捕捞许可证上注明缴纳金额，加盖印章。</w:t>
            </w:r>
          </w:p>
          <w:p>
            <w:pPr>
              <w:numPr>
                <w:ilvl w:val="0"/>
                <w:numId w:val="0"/>
              </w:numPr>
              <w:adjustRightInd w:val="0"/>
              <w:snapToGrid w:val="0"/>
              <w:spacing w:line="300" w:lineRule="exact"/>
              <w:ind w:firstLine="400" w:firstLineChars="200"/>
              <w:textAlignment w:val="center"/>
              <w:rPr>
                <w:rStyle w:val="6"/>
                <w:rFonts w:hint="eastAsia" w:ascii="宋体" w:hAnsi="宋体" w:eastAsia="宋体" w:cs="宋体"/>
                <w:color w:val="auto"/>
                <w:lang w:eastAsia="zh-CN" w:bidi="ar"/>
              </w:rPr>
            </w:pPr>
            <w:r>
              <w:rPr>
                <w:rStyle w:val="6"/>
                <w:rFonts w:hint="eastAsia" w:ascii="宋体" w:hAnsi="宋体" w:eastAsia="宋体" w:cs="宋体"/>
                <w:color w:val="auto"/>
                <w:lang w:eastAsia="zh-CN" w:bidi="ar"/>
              </w:rPr>
              <w:t>征收渔业资源费时，必须出具收费的收据。</w:t>
            </w:r>
          </w:p>
          <w:p>
            <w:pPr>
              <w:numPr>
                <w:ilvl w:val="0"/>
                <w:numId w:val="0"/>
              </w:numPr>
              <w:adjustRightInd w:val="0"/>
              <w:snapToGrid w:val="0"/>
              <w:spacing w:line="300" w:lineRule="exact"/>
              <w:ind w:left="0" w:leftChars="0" w:firstLine="400" w:firstLineChars="0"/>
              <w:textAlignment w:val="center"/>
              <w:rPr>
                <w:rFonts w:hint="eastAsia" w:ascii="宋体" w:hAnsi="宋体" w:eastAsia="宋体" w:cs="宋体"/>
                <w:sz w:val="20"/>
                <w:szCs w:val="20"/>
                <w:lang w:bidi="ar"/>
              </w:rPr>
            </w:pPr>
            <w:r>
              <w:rPr>
                <w:rStyle w:val="6"/>
                <w:rFonts w:hint="eastAsia" w:ascii="宋体" w:hAnsi="宋体" w:eastAsia="宋体" w:cs="宋体"/>
                <w:color w:val="auto"/>
                <w:lang w:val="en-US" w:eastAsia="zh-CN" w:bidi="ar"/>
              </w:rPr>
              <w:t>第十一条：市、县人民政府渔业行政主管部门征收的渔业资源费上缴省、自治区、直辖市的比例，由省级人民政府渔业行政主管部门商同级财政部门确定。</w:t>
            </w:r>
          </w:p>
        </w:tc>
        <w:tc>
          <w:tcPr>
            <w:tcW w:w="1256" w:type="dxa"/>
            <w:vAlign w:val="center"/>
          </w:tcPr>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1.对符合条件的申请不予受理的；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2.对不符合许可条件的予以许可或超越职权许可，或者对符合条件的不予许可或不在法定期限内许可的；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3.违反法定程序审核、审批或不履行法定义务的；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4.徇私舞弊、滥用职权、玩忽职守的；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5.利用职务上的便利，索取他人财物，为他人谋取利益的；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6.其他违反法律法规规章文件规定的行为。</w:t>
            </w:r>
          </w:p>
        </w:tc>
        <w:tc>
          <w:tcPr>
            <w:tcW w:w="5005" w:type="dxa"/>
            <w:vAlign w:val="center"/>
          </w:tcPr>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法律】《中华人民共和国行政许可法》（2003年主席令第七号公布）第七十二条：“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六）依法应当举行听证而不举行听证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法律】《中华人民共和国行政许可法》（2003年主席令第七号公布）第七十四条：“行政机关实施行政许可，有下列情形之一的，由其上级行政机关或者监察机关责令改正，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（一）对不符合法定条件的申请人准予行政许可或者超越法定职权作出准予行政许可决定的；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（二）对符合法定条件的申请人不予行政许可或者不在法定期限内作出准予行政许可决定的；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（三）依法应当根据招标、拍卖结果或者考试成绩择优作出准予行政许可决定，未经招标、拍卖或者考试，或者不根据招标、拍卖结果或者考试成绩择优作出准予行政许可决定的。”</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3.同2。</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法律】《中华人民共和国行政许可法》（2003年主席令第七号公布）第七十七条：“行政机关不依法履行监督职责或者监督不力，造成严重后果的，由其上级行政机关或者监察机关责令改正，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法律】《中华人民共和国行政许可法》（2003年主席令第七号公布）第七十三条：“行政机关工作人员办理行政许可、实施监督检查，索取或者收受他人财物或者谋取其他利益，构成犯罪的，依法追究刑事责任；尚不构成犯罪的，依法给予行政处分。”</w:t>
            </w:r>
          </w:p>
        </w:tc>
        <w:tc>
          <w:tcPr>
            <w:tcW w:w="561" w:type="dxa"/>
            <w:vAlign w:val="center"/>
          </w:tcPr>
          <w:p>
            <w:pPr>
              <w:adjustRightInd w:val="0"/>
              <w:snapToGrid w:val="0"/>
              <w:spacing w:line="300" w:lineRule="exact"/>
              <w:jc w:val="center"/>
              <w:rPr>
                <w:rFonts w:hint="eastAsia" w:ascii="宋体" w:hAnsi="宋体" w:cs="宋体"/>
                <w:color w:val="000000"/>
                <w:kern w:val="0"/>
                <w:sz w:val="20"/>
                <w:szCs w:val="20"/>
                <w:lang w:eastAsia="zh-CN"/>
              </w:rPr>
            </w:pPr>
            <w:r>
              <w:rPr>
                <w:rFonts w:hint="eastAsia" w:ascii="宋体" w:hAnsi="宋体" w:cs="宋体"/>
                <w:color w:val="000000"/>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000000"/>
                <w:kern w:val="0"/>
                <w:sz w:val="20"/>
                <w:szCs w:val="20"/>
              </w:rPr>
            </w:pPr>
          </w:p>
        </w:tc>
      </w:tr>
      <w:bookmarkEnd w:id="0"/>
    </w:tbl>
    <w:p/>
    <w:sectPr>
      <w:footerReference r:id="rId3" w:type="default"/>
      <w:pgSz w:w="23757" w:h="16783" w:orient="landscape"/>
      <w:pgMar w:top="1800" w:right="1440" w:bottom="1800" w:left="1440" w:header="851" w:footer="992" w:gutter="0"/>
      <w:pgNumType w:fmt="numberInDash" w:start="6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FC84A"/>
    <w:multiLevelType w:val="singleLevel"/>
    <w:tmpl w:val="FBFFC84A"/>
    <w:lvl w:ilvl="0" w:tentative="0">
      <w:start w:val="317"/>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9205C"/>
    <w:rsid w:val="19A9231C"/>
    <w:rsid w:val="36424BD3"/>
    <w:rsid w:val="56A00F1F"/>
    <w:rsid w:val="6B09205C"/>
    <w:rsid w:val="6D8C7FC3"/>
    <w:rsid w:val="7D8B798E"/>
    <w:rsid w:val="A57CD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1"/>
    <w:qFormat/>
    <w:uiPriority w:val="0"/>
    <w:rPr>
      <w:rFonts w:hint="eastAsia" w:ascii="宋体" w:hAnsi="宋体" w:eastAsia="宋体" w:cs="宋体"/>
      <w:color w:val="000000"/>
      <w:sz w:val="20"/>
      <w:szCs w:val="20"/>
      <w:u w:val="none"/>
    </w:rPr>
  </w:style>
  <w:style w:type="character" w:customStyle="1" w:styleId="7">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2</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2022-08-03T17:02:00Z</dcterms:created>
  <dc:creator>吃可爱长大的小仙女</dc:creator>
  <cp:lastModifiedBy>gxxc</cp:lastModifiedBy>
  <dcterms:modified xsi:type="dcterms:W3CDTF">2022-11-28T17:37:50Z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