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260" w:tblpY="73"/>
        <w:tblOverlap w:val="never"/>
        <w:tblW w:w="94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6"/>
        <w:gridCol w:w="6806"/>
      </w:tblGrid>
      <w:tr w14:paraId="51FE5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4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D5880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5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附件：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第四章</w:t>
            </w:r>
            <w:r>
              <w:rPr>
                <w:rFonts w:hint="eastAsia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第二款“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评审标准</w:t>
            </w:r>
            <w:r>
              <w:rPr>
                <w:rFonts w:hint="eastAsia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”调整后内容</w:t>
            </w:r>
          </w:p>
        </w:tc>
      </w:tr>
      <w:tr w14:paraId="5649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314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5" w:line="360" w:lineRule="auto"/>
              <w:ind w:left="158" w:leftChars="0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5FF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339" w:leftChars="0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评分类型</w:t>
            </w:r>
          </w:p>
        </w:tc>
        <w:tc>
          <w:tcPr>
            <w:tcW w:w="6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4BB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5" w:line="360" w:lineRule="auto"/>
              <w:ind w:left="3191" w:leftChars="0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评分标准</w:t>
            </w:r>
          </w:p>
        </w:tc>
      </w:tr>
      <w:tr w14:paraId="0AB95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8" w:type="dxa"/>
            <w:tcBorders>
              <w:top w:val="single" w:color="auto" w:sz="4" w:space="0"/>
            </w:tcBorders>
            <w:noWrap w:val="0"/>
            <w:vAlign w:val="center"/>
          </w:tcPr>
          <w:p w14:paraId="0A7C31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333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26" w:type="dxa"/>
            <w:tcBorders>
              <w:top w:val="single" w:color="auto" w:sz="4" w:space="0"/>
            </w:tcBorders>
            <w:noWrap w:val="0"/>
            <w:vAlign w:val="center"/>
          </w:tcPr>
          <w:p w14:paraId="004E2E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6" w:line="360" w:lineRule="auto"/>
              <w:ind w:left="1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报价分</w:t>
            </w:r>
          </w:p>
          <w:p w14:paraId="490589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6" w:line="360" w:lineRule="auto"/>
              <w:ind w:left="1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10分）</w:t>
            </w:r>
          </w:p>
        </w:tc>
        <w:tc>
          <w:tcPr>
            <w:tcW w:w="6806" w:type="dxa"/>
            <w:tcBorders>
              <w:top w:val="single" w:color="auto" w:sz="4" w:space="0"/>
            </w:tcBorders>
            <w:noWrap w:val="0"/>
            <w:vAlign w:val="top"/>
          </w:tcPr>
          <w:p w14:paraId="1B3E8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97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报价分（满分10分）</w:t>
            </w:r>
          </w:p>
          <w:p w14:paraId="1DF5D8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3" w:line="360" w:lineRule="auto"/>
              <w:ind w:left="113" w:right="109" w:firstLine="296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报价分采用低价优先法计算，满足磋商文件要求且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价最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低的有效供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</w:rPr>
              <w:t>应商的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</w:rPr>
              <w:t>价为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</w:rPr>
              <w:t>基准价，其报价分为满分。</w:t>
            </w:r>
          </w:p>
          <w:p w14:paraId="14AC82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96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其他供应商的价格分统一按照下列公式计算：</w:t>
            </w:r>
          </w:p>
          <w:p w14:paraId="47BF9C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5" w:line="360" w:lineRule="auto"/>
              <w:ind w:left="217" w:leftChars="0" w:firstLine="157" w:firstLineChars="62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"/>
                <w:sz w:val="24"/>
                <w:szCs w:val="24"/>
                <w:highlight w:val="none"/>
              </w:rPr>
              <w:t>某有效供应商的报价分=（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1"/>
                <w:sz w:val="24"/>
                <w:szCs w:val="24"/>
                <w:highlight w:val="none"/>
              </w:rPr>
              <w:t>基准价／某有效供应商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1"/>
                <w:sz w:val="24"/>
                <w:szCs w:val="24"/>
                <w:highlight w:val="none"/>
              </w:rPr>
              <w:t>价）×10分</w:t>
            </w:r>
          </w:p>
        </w:tc>
      </w:tr>
      <w:tr w14:paraId="445C6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8" w:type="dxa"/>
            <w:noWrap w:val="0"/>
            <w:vAlign w:val="center"/>
          </w:tcPr>
          <w:p w14:paraId="394C9E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line="360" w:lineRule="auto"/>
              <w:ind w:left="321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26" w:type="dxa"/>
            <w:noWrap w:val="0"/>
            <w:vAlign w:val="center"/>
          </w:tcPr>
          <w:p w14:paraId="384FD5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360" w:lineRule="auto"/>
              <w:ind w:left="408" w:right="221" w:hanging="19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  <w:highlight w:val="none"/>
              </w:rPr>
              <w:t>技术</w:t>
            </w:r>
          </w:p>
          <w:p w14:paraId="2BEC1F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360" w:lineRule="auto"/>
              <w:ind w:left="408" w:right="221" w:hanging="19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06" w:type="dxa"/>
            <w:noWrap w:val="0"/>
            <w:vAlign w:val="top"/>
          </w:tcPr>
          <w:p w14:paraId="6BC709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8" w:line="360" w:lineRule="auto"/>
              <w:ind w:left="3249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评分标准</w:t>
            </w:r>
          </w:p>
        </w:tc>
      </w:tr>
      <w:tr w14:paraId="1CEC9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28" w:type="dxa"/>
            <w:noWrap w:val="0"/>
            <w:vAlign w:val="center"/>
          </w:tcPr>
          <w:p w14:paraId="737619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360" w:lineRule="auto"/>
              <w:ind w:left="225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4"/>
                <w:szCs w:val="24"/>
                <w:highlight w:val="none"/>
              </w:rPr>
              <w:t>2.1</w:t>
            </w:r>
          </w:p>
        </w:tc>
        <w:tc>
          <w:tcPr>
            <w:tcW w:w="1926" w:type="dxa"/>
            <w:noWrap w:val="0"/>
            <w:vAlign w:val="center"/>
          </w:tcPr>
          <w:p w14:paraId="06AA7B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237" w:right="111" w:firstLine="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实施方案</w:t>
            </w:r>
          </w:p>
          <w:p w14:paraId="5D8C78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237" w:right="111" w:firstLine="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06" w:type="dxa"/>
            <w:noWrap w:val="0"/>
            <w:vAlign w:val="top"/>
          </w:tcPr>
          <w:p w14:paraId="4BDE8C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一档（5分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）：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采集及</w:t>
            </w:r>
            <w:r>
              <w:rPr>
                <w:rFonts w:hint="eastAsia" w:cs="宋体"/>
                <w:color w:val="auto"/>
                <w:spacing w:val="7"/>
                <w:sz w:val="24"/>
                <w:szCs w:val="24"/>
                <w:highlight w:val="none"/>
                <w:lang w:eastAsia="zh-CN"/>
              </w:rPr>
              <w:t>检测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实施方案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工作流程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；分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析方法满足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，质量控制、数据处理等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规范；</w:t>
            </w:r>
          </w:p>
          <w:p w14:paraId="05F65B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" w:line="360" w:lineRule="auto"/>
              <w:ind w:left="112" w:right="107" w:firstLine="424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二档（1</w:t>
            </w:r>
            <w:r>
              <w:rPr>
                <w:rFonts w:hint="eastAsia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4"/>
                <w:szCs w:val="24"/>
                <w:highlight w:val="none"/>
              </w:rPr>
              <w:t>）：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采集及</w:t>
            </w:r>
            <w:r>
              <w:rPr>
                <w:rFonts w:hint="eastAsia" w:cs="宋体"/>
                <w:color w:val="auto"/>
                <w:spacing w:val="7"/>
                <w:sz w:val="24"/>
                <w:szCs w:val="24"/>
                <w:highlight w:val="none"/>
                <w:lang w:eastAsia="zh-CN"/>
              </w:rPr>
              <w:t>检测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实施方案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工作流程；质量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控制、数据处理等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符合规范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；项目进度控制措施，数据检查、质量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控制以及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</w:rPr>
              <w:t>反馈纠错措施具体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可行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</w:rPr>
              <w:t>；</w:t>
            </w:r>
            <w:r>
              <w:rPr>
                <w:rFonts w:hint="eastAsia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能提供</w:t>
            </w:r>
            <w:r>
              <w:rPr>
                <w:rFonts w:hint="eastAsia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每个区域实施的计划。</w:t>
            </w:r>
          </w:p>
          <w:p w14:paraId="349FD7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5" w:line="360" w:lineRule="auto"/>
              <w:ind w:left="112" w:right="107" w:firstLine="42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三档（</w:t>
            </w:r>
            <w:r>
              <w:rPr>
                <w:rFonts w:hint="eastAsia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5分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4"/>
                <w:szCs w:val="24"/>
                <w:highlight w:val="none"/>
              </w:rPr>
              <w:t>）：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4"/>
                <w:szCs w:val="24"/>
                <w:highlight w:val="none"/>
                <w:lang w:val="en-US" w:eastAsia="zh-CN"/>
              </w:rPr>
              <w:t>有针对项目的</w:t>
            </w:r>
            <w:r>
              <w:rPr>
                <w:rFonts w:hint="eastAsia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采集及</w:t>
            </w:r>
            <w:r>
              <w:rPr>
                <w:rFonts w:hint="eastAsia" w:cs="宋体"/>
                <w:color w:val="auto"/>
                <w:spacing w:val="7"/>
                <w:sz w:val="24"/>
                <w:szCs w:val="24"/>
                <w:highlight w:val="none"/>
                <w:lang w:eastAsia="zh-CN"/>
              </w:rPr>
              <w:t>检测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实施方案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工作流程；质量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控制、数据处理等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符合规范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；项目进度控制措施详细、科学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提升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样品检测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过程质量的保障机制以及数据检查、质量控制以及反馈纠错措施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；应急预案可操作性强；</w:t>
            </w:r>
            <w:r>
              <w:rPr>
                <w:rFonts w:hint="eastAsia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能提供</w:t>
            </w:r>
            <w:r>
              <w:rPr>
                <w:rFonts w:hint="eastAsia" w:cs="宋体"/>
                <w:color w:val="auto"/>
                <w:spacing w:val="8"/>
                <w:sz w:val="24"/>
                <w:szCs w:val="24"/>
                <w:highlight w:val="none"/>
                <w:lang w:eastAsia="zh-CN"/>
              </w:rPr>
              <w:t>每个区域</w:t>
            </w:r>
            <w:r>
              <w:rPr>
                <w:rFonts w:hint="eastAsia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针对性</w:t>
            </w:r>
            <w:r>
              <w:rPr>
                <w:rFonts w:hint="eastAsia" w:cs="宋体"/>
                <w:color w:val="auto"/>
                <w:spacing w:val="8"/>
                <w:sz w:val="24"/>
                <w:szCs w:val="24"/>
                <w:highlight w:val="none"/>
                <w:lang w:eastAsia="zh-CN"/>
              </w:rPr>
              <w:t>的实施计划。</w:t>
            </w:r>
          </w:p>
          <w:p w14:paraId="7E606B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" w:line="360" w:lineRule="auto"/>
              <w:ind w:left="112" w:right="107" w:firstLine="424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pacing w:val="26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spacing w:val="26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26"/>
                <w:sz w:val="24"/>
                <w:szCs w:val="24"/>
                <w:highlight w:val="none"/>
                <w:lang w:val="en-US" w:eastAsia="zh-CN"/>
              </w:rPr>
              <w:t>提供的</w:t>
            </w:r>
            <w:r>
              <w:rPr>
                <w:rFonts w:hint="eastAsia" w:ascii="宋体" w:hAnsi="宋体" w:eastAsia="宋体" w:cs="宋体"/>
                <w:color w:val="auto"/>
                <w:spacing w:val="26"/>
                <w:sz w:val="24"/>
                <w:szCs w:val="24"/>
                <w:highlight w:val="none"/>
              </w:rPr>
              <w:t>实施方案不能达到一档要求的不得分。</w:t>
            </w:r>
          </w:p>
        </w:tc>
      </w:tr>
      <w:tr w14:paraId="30269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28" w:type="dxa"/>
            <w:noWrap w:val="0"/>
            <w:vAlign w:val="center"/>
          </w:tcPr>
          <w:p w14:paraId="5D7AE5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360" w:lineRule="auto"/>
              <w:ind w:left="225"/>
              <w:textAlignment w:val="auto"/>
              <w:rPr>
                <w:rFonts w:hint="default" w:ascii="宋体" w:hAnsi="宋体" w:eastAsia="宋体" w:cs="宋体"/>
                <w:color w:val="auto"/>
                <w:spacing w:val="-1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position w:val="1"/>
                <w:sz w:val="24"/>
                <w:szCs w:val="24"/>
                <w:highlight w:val="none"/>
                <w:lang w:val="en-US" w:eastAsia="zh-CN"/>
              </w:rPr>
              <w:t>2.2</w:t>
            </w:r>
          </w:p>
        </w:tc>
        <w:tc>
          <w:tcPr>
            <w:tcW w:w="1926" w:type="dxa"/>
            <w:noWrap w:val="0"/>
            <w:vAlign w:val="center"/>
          </w:tcPr>
          <w:p w14:paraId="146BF0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237" w:right="111" w:firstLine="2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服务承诺（满分10分）</w:t>
            </w:r>
          </w:p>
        </w:tc>
        <w:tc>
          <w:tcPr>
            <w:tcW w:w="6806" w:type="dxa"/>
            <w:noWrap w:val="0"/>
            <w:vAlign w:val="top"/>
          </w:tcPr>
          <w:p w14:paraId="24E220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一档（2分）：提供了采样和检测服务质量承诺内容；</w:t>
            </w:r>
          </w:p>
          <w:p w14:paraId="4ABECB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二档（6分）：提供了采样和检测服务质量承诺内容：能明确采样服务规范承诺、检测服务规范承诺、定位预警服务规范承诺等内容；</w:t>
            </w:r>
          </w:p>
          <w:p w14:paraId="48AC72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三档（10分）：在二档的基础上，还包含服务时限承诺、服务质量保障承诺、责任承担承诺等内容，且具有针对性。</w:t>
            </w:r>
          </w:p>
          <w:p w14:paraId="38F8CD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" w:line="360" w:lineRule="auto"/>
              <w:ind w:left="112" w:right="107" w:firstLine="424"/>
              <w:jc w:val="both"/>
              <w:textAlignment w:val="auto"/>
              <w:rPr>
                <w:rFonts w:hint="eastAsia" w:cs="宋体"/>
                <w:color w:val="auto"/>
                <w:spacing w:val="2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服务承诺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或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服务承诺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不能达到一档要求的不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得分。</w:t>
            </w:r>
          </w:p>
        </w:tc>
      </w:tr>
      <w:tr w14:paraId="21862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728" w:type="dxa"/>
            <w:noWrap w:val="0"/>
            <w:vAlign w:val="center"/>
          </w:tcPr>
          <w:p w14:paraId="5F67FE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360" w:lineRule="auto"/>
              <w:ind w:left="225" w:leftChars="0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4"/>
                <w:szCs w:val="24"/>
                <w:highlight w:val="none"/>
              </w:rPr>
              <w:t>2.</w:t>
            </w:r>
            <w:r>
              <w:rPr>
                <w:rFonts w:hint="eastAsia" w:cs="宋体"/>
                <w:color w:val="auto"/>
                <w:spacing w:val="-1"/>
                <w:position w:val="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26" w:type="dxa"/>
            <w:noWrap w:val="0"/>
            <w:vAlign w:val="center"/>
          </w:tcPr>
          <w:p w14:paraId="4834CD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235" w:leftChars="0" w:right="111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1"/>
                <w:sz w:val="24"/>
                <w:szCs w:val="24"/>
                <w:highlight w:val="none"/>
              </w:rPr>
              <w:t>重点难点分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析（满分15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06" w:type="dxa"/>
            <w:noWrap w:val="0"/>
            <w:vAlign w:val="top"/>
          </w:tcPr>
          <w:p w14:paraId="1F938B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一档（5分）：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提供了项目核心重点分析大纲与项目实施难点分析大纲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；</w:t>
            </w:r>
          </w:p>
          <w:p w14:paraId="723E0A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二档（10分）：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提供了项目核心重点分析大纲，包含检测指标与标准把控重点内容、检测实施流程重点内容；项目实施难点分析大纲包含检测技术层面难点内容、现场实施层面难点内容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；</w:t>
            </w:r>
          </w:p>
          <w:p w14:paraId="622E9B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三档（15分）：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在二档的基础上，项目核心重点分析大纲还包含了试种示范配套检测重点内容、质量控制与合规重点内容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项目实施难点分析大纲还包含了质量控制层面难点内容、项目协同与验收层面难点，且有项目针对性。</w:t>
            </w:r>
          </w:p>
          <w:p w14:paraId="589125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供应商无重点难点分析的或重点难点分析不能达到一档要求的不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得分。</w:t>
            </w:r>
          </w:p>
        </w:tc>
      </w:tr>
      <w:tr w14:paraId="2A9F8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8" w:type="dxa"/>
            <w:noWrap w:val="0"/>
            <w:vAlign w:val="center"/>
          </w:tcPr>
          <w:p w14:paraId="0E7299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360" w:lineRule="auto"/>
              <w:ind w:left="225" w:leftChars="0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4"/>
                <w:szCs w:val="24"/>
                <w:highlight w:val="none"/>
              </w:rPr>
              <w:t>2.</w:t>
            </w:r>
            <w:r>
              <w:rPr>
                <w:rFonts w:hint="eastAsia" w:cs="宋体"/>
                <w:color w:val="auto"/>
                <w:spacing w:val="-1"/>
                <w:position w:val="1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26" w:type="dxa"/>
            <w:noWrap w:val="0"/>
            <w:vAlign w:val="center"/>
          </w:tcPr>
          <w:p w14:paraId="560F3B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1" w:line="360" w:lineRule="auto"/>
              <w:ind w:left="113" w:leftChars="0" w:right="25" w:rightChars="0" w:firstLine="49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项目组织机构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4"/>
                <w:szCs w:val="24"/>
                <w:highlight w:val="none"/>
              </w:rPr>
              <w:t>人员配备、设备设施投入情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  <w:highlight w:val="none"/>
              </w:rPr>
              <w:t>况（满分15分）</w:t>
            </w:r>
          </w:p>
        </w:tc>
        <w:tc>
          <w:tcPr>
            <w:tcW w:w="6806" w:type="dxa"/>
            <w:noWrap w:val="0"/>
            <w:vAlign w:val="top"/>
          </w:tcPr>
          <w:p w14:paraId="0F4502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一档（5分）：有项目组织机构人员（项目投入相关专业的技术人员达到10-15人），投入的设备设施有组织计划，设备数量、选型配置基本满足服务需要。</w:t>
            </w:r>
          </w:p>
          <w:p w14:paraId="5BBBD4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二档（10分）：有项目组织机构人员（项目投入相关专业的技术人员16-20人），投入的设备设施有组织计划且计划合理，设备数量、选型配置满足服务需要。</w:t>
            </w:r>
          </w:p>
          <w:p w14:paraId="3B83C8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三档（15分）：有项目组织机构人员（项目投入相关专业的技术人员达到</w:t>
            </w:r>
            <w:r>
              <w:rPr>
                <w:rFonts w:hint="eastAsia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1人及以上），有详细的分工内容；投入的设备设施有详细的组织计划且计划周密，设备数量、选型配置完全满足服务需要，有针对性。</w:t>
            </w:r>
          </w:p>
          <w:p w14:paraId="6BCF2A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60" w:lineRule="auto"/>
              <w:ind w:left="113" w:right="38" w:firstLine="42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供应商无项目组织机构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4"/>
                <w:szCs w:val="24"/>
                <w:highlight w:val="none"/>
              </w:rPr>
              <w:t>人员配备、设备设施投入情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  <w:highlight w:val="none"/>
              </w:rPr>
              <w:t>况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的或项目组织机构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4"/>
                <w:szCs w:val="24"/>
                <w:highlight w:val="none"/>
              </w:rPr>
              <w:t>人员配备、设备设施投入情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  <w:highlight w:val="none"/>
              </w:rPr>
              <w:t>况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不能达到一档要求的不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得分。</w:t>
            </w:r>
          </w:p>
        </w:tc>
      </w:tr>
      <w:tr w14:paraId="503D1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8" w:type="dxa"/>
            <w:noWrap w:val="0"/>
            <w:vAlign w:val="center"/>
          </w:tcPr>
          <w:p w14:paraId="6D957B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2" w:line="360" w:lineRule="auto"/>
              <w:ind w:left="321" w:leftChars="0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26" w:type="dxa"/>
            <w:noWrap w:val="0"/>
            <w:vAlign w:val="center"/>
          </w:tcPr>
          <w:p w14:paraId="703262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7" w:line="360" w:lineRule="auto"/>
              <w:ind w:left="115" w:leftChars="0" w:right="120" w:rightChars="0" w:firstLine="1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商务资信（满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分3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06" w:type="dxa"/>
            <w:noWrap w:val="0"/>
            <w:vAlign w:val="top"/>
          </w:tcPr>
          <w:p w14:paraId="4EEABE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3" w:line="360" w:lineRule="auto"/>
              <w:ind w:left="3191" w:leftChars="0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评分标准</w:t>
            </w:r>
          </w:p>
        </w:tc>
      </w:tr>
      <w:tr w14:paraId="25752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728" w:type="dxa"/>
            <w:noWrap w:val="0"/>
            <w:vAlign w:val="center"/>
          </w:tcPr>
          <w:p w14:paraId="781102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216" w:leftChars="0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4"/>
                <w:szCs w:val="24"/>
                <w:highlight w:val="none"/>
              </w:rPr>
              <w:t>3.1</w:t>
            </w:r>
          </w:p>
        </w:tc>
        <w:tc>
          <w:tcPr>
            <w:tcW w:w="1926" w:type="dxa"/>
            <w:noWrap w:val="0"/>
            <w:vAlign w:val="center"/>
          </w:tcPr>
          <w:p w14:paraId="29553C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39" w:line="360" w:lineRule="auto"/>
              <w:ind w:left="122" w:leftChars="0" w:right="59" w:rightChars="0" w:firstLine="207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  <w:highlight w:val="none"/>
              </w:rPr>
              <w:t>资质能力分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cs="宋体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06" w:type="dxa"/>
            <w:noWrap w:val="0"/>
            <w:vAlign w:val="top"/>
          </w:tcPr>
          <w:p w14:paraId="730C0B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5" w:line="360" w:lineRule="auto"/>
              <w:ind w:left="117" w:right="109" w:hanging="2"/>
              <w:textAlignment w:val="auto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24"/>
                <w:szCs w:val="24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拟投入用于检验的大型检验仪器设备有电感耦合等离子光谱仪、原子荧光仪、电感耦合等离子质谱仪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原子吸收分光光度计的，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每有一种设备得0.5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分（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供应商需在响应文件中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提供设备清单及相应设备的检定证书或校准证书，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及购置发票复印件或其他证明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可使用设备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证明材料）。</w:t>
            </w:r>
          </w:p>
          <w:p w14:paraId="0BDAD7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5" w:line="360" w:lineRule="auto"/>
              <w:ind w:left="117" w:leftChars="0" w:right="109" w:rightChars="0" w:hanging="2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24"/>
                <w:szCs w:val="24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供应商通过质量体系、环境体系、职业健康安全体系认证，且在有效期内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的，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每有一份认证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得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分（</w:t>
            </w:r>
            <w:r>
              <w:rPr>
                <w:rFonts w:hint="eastAsia" w:cs="宋体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供应商需在响应文件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提供证书复印件并加盖供应商公章）。</w:t>
            </w:r>
            <w:bookmarkStart w:id="0" w:name="_GoBack"/>
            <w:bookmarkEnd w:id="0"/>
          </w:p>
        </w:tc>
      </w:tr>
      <w:tr w14:paraId="6925C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8" w:type="dxa"/>
            <w:noWrap w:val="0"/>
            <w:vAlign w:val="center"/>
          </w:tcPr>
          <w:p w14:paraId="5CDB30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216" w:leftChars="0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4"/>
                <w:szCs w:val="24"/>
                <w:highlight w:val="none"/>
              </w:rPr>
              <w:t>3.2</w:t>
            </w:r>
          </w:p>
        </w:tc>
        <w:tc>
          <w:tcPr>
            <w:tcW w:w="1926" w:type="dxa"/>
            <w:noWrap w:val="0"/>
            <w:vAlign w:val="center"/>
          </w:tcPr>
          <w:p w14:paraId="43FD7E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122" w:leftChars="0" w:right="59" w:rightChars="0" w:firstLine="113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实力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>分</w:t>
            </w:r>
          </w:p>
          <w:p w14:paraId="28AB42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122" w:leftChars="0" w:right="59" w:rightChars="0" w:firstLine="113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cs="宋体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06" w:type="dxa"/>
            <w:noWrap w:val="0"/>
            <w:vAlign w:val="top"/>
          </w:tcPr>
          <w:p w14:paraId="736FA8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7" w:right="109" w:hanging="5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①拟投入项目组负责人具备农业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环境或化工相关行业高级专业技术职称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以上的得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分，此项满分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,中级专业技术职称得3分。</w:t>
            </w:r>
          </w:p>
          <w:p w14:paraId="22EF04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7" w:right="109" w:hanging="5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②拟投入质量负责人具备农业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环境或化工相关行业高级专业技术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的得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分，此项满分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分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,中级专业技术职称得3分。</w:t>
            </w:r>
          </w:p>
          <w:p w14:paraId="48F4F8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9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24"/>
                <w:szCs w:val="24"/>
                <w:highlight w:val="none"/>
              </w:rPr>
              <w:t>③拟投入项目技术人员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具备农业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4"/>
                <w:szCs w:val="24"/>
                <w:highlight w:val="none"/>
              </w:rPr>
              <w:t>环境或化工相关行业中级及以上专业技术职称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的，每人得1分，此项满分</w:t>
            </w:r>
            <w:r>
              <w:rPr>
                <w:rFonts w:hint="eastAsia" w:cs="宋体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分。</w:t>
            </w:r>
          </w:p>
          <w:p w14:paraId="36F15B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6" w:leftChars="0" w:right="107" w:rightChars="0" w:hanging="9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eastAsia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上述人员不得重复计分，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所有人员须提供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供应商与其签订的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</w:rPr>
              <w:t>劳动合同或近三个月社保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缴纳证明，以及相关证书扫描件，否则不得分。</w:t>
            </w:r>
          </w:p>
        </w:tc>
      </w:tr>
      <w:tr w14:paraId="7E4CC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728" w:type="dxa"/>
            <w:noWrap w:val="0"/>
            <w:vAlign w:val="center"/>
          </w:tcPr>
          <w:p w14:paraId="049E75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216" w:leftChars="0"/>
              <w:textAlignment w:val="auto"/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4"/>
                <w:szCs w:val="24"/>
                <w:highlight w:val="none"/>
                <w:lang w:val="en-US" w:eastAsia="zh-CN"/>
              </w:rPr>
              <w:t>3.3</w:t>
            </w:r>
          </w:p>
        </w:tc>
        <w:tc>
          <w:tcPr>
            <w:tcW w:w="1926" w:type="dxa"/>
            <w:noWrap w:val="0"/>
            <w:vAlign w:val="center"/>
          </w:tcPr>
          <w:p w14:paraId="674DA8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122" w:leftChars="0" w:right="59" w:rightChars="0" w:firstLine="113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业绩分</w:t>
            </w:r>
          </w:p>
          <w:p w14:paraId="3E9F68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auto"/>
              <w:ind w:left="122" w:leftChars="0" w:right="59" w:rightChars="0" w:firstLine="113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06" w:type="dxa"/>
            <w:noWrap w:val="0"/>
            <w:vAlign w:val="top"/>
          </w:tcPr>
          <w:p w14:paraId="7E570C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4" w:leftChars="104" w:right="107" w:rightChars="0" w:hanging="96" w:hangingChars="40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供应商自2023年1月1日以来的同类项目的业绩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证明（同类项目合同复印件）并加盖供应商公章，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每提供一项得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分，满分为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分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1ED64C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4" w:leftChars="104" w:right="107" w:rightChars="0" w:hanging="96" w:hangingChars="40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注：以合同书原件复印件为准，加盖供应商公章。同类项目业绩指耕地生产障碍治理、耕地安全利用实施、农用地安全利用、重金属污染治理或评价、农田重金属定位预警等土壤、农产品采样检测类似业绩，承接时间以签订合同时间为准。</w:t>
            </w:r>
          </w:p>
        </w:tc>
      </w:tr>
    </w:tbl>
    <w:p w14:paraId="24CED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C711E"/>
    <w:rsid w:val="1D2B2C2D"/>
    <w:rsid w:val="219F2187"/>
    <w:rsid w:val="2F3F6011"/>
    <w:rsid w:val="45466121"/>
    <w:rsid w:val="49A95295"/>
    <w:rsid w:val="4C234E89"/>
    <w:rsid w:val="60147C4D"/>
    <w:rsid w:val="651C711E"/>
    <w:rsid w:val="68B6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kern w:val="2"/>
      <w:sz w:val="21"/>
      <w:szCs w:val="24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1852</Words>
  <Characters>1901</Characters>
  <Lines>0</Lines>
  <Paragraphs>0</Paragraphs>
  <TotalTime>0</TotalTime>
  <ScaleCrop>false</ScaleCrop>
  <LinksUpToDate>false</LinksUpToDate>
  <CharactersWithSpaces>1901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2026-04-16T10:28:00Z</dcterms:created>
  <dc:creator>DD</dc:creator>
  <cp:lastModifiedBy>DD</cp:lastModifiedBy>
  <dcterms:modified xsi:type="dcterms:W3CDTF">2026-04-21T09:53:59Z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EED3EA79AF5D46AABD9EABD93265C257_13</vt:lpwstr>
  </property>
  <property fmtid="{D5CDD505-2E9C-101B-9397-08002B2CF9AE}" pid="4" name="KSOTemplateDocerSaveRecord">
    <vt:lpwstr>eyJoZGlkIjoiNmRjMWQ1MTFlN2NhZDI4NDAyNTU1Y2EzMGFhNzc2MjYiLCJ1c2VySWQiOiIyODA1ODEzMTAifQ==</vt:lpwstr>
  </property>
</Properties>
</file>